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eastAsia="黑体"/>
          <w:color w:val="000000"/>
          <w:spacing w:val="-10"/>
          <w:sz w:val="36"/>
          <w:szCs w:val="36"/>
        </w:rPr>
      </w:pPr>
      <w:bookmarkStart w:id="42" w:name="_GoBack"/>
      <w:bookmarkEnd w:id="42"/>
    </w:p>
    <w:p>
      <w:pPr>
        <w:spacing w:line="360" w:lineRule="auto"/>
        <w:jc w:val="center"/>
        <w:outlineLvl w:val="0"/>
        <w:rPr>
          <w:rFonts w:hint="eastAsia" w:ascii="宋体" w:hAnsi="宋体" w:eastAsia="宋体" w:cs="宋体"/>
          <w:b/>
          <w:bCs/>
          <w:color w:val="000000"/>
          <w:spacing w:val="-10"/>
          <w:sz w:val="32"/>
          <w:szCs w:val="32"/>
        </w:rPr>
      </w:pPr>
      <w:r>
        <w:rPr>
          <w:rFonts w:hint="eastAsia" w:ascii="宋体" w:hAnsi="宋体" w:eastAsia="宋体" w:cs="宋体"/>
          <w:b/>
          <w:bCs/>
          <w:color w:val="000000"/>
          <w:spacing w:val="-10"/>
          <w:sz w:val="32"/>
          <w:szCs w:val="32"/>
        </w:rPr>
        <w:object>
          <v:shape id="_x0000_i1029" o:spt="75" alt="" type="#_x0000_t75" style="height:620.5pt;width:425.05pt;" o:ole="t" filled="f" o:preferrelative="t" stroked="f" coordsize="21600,21600">
            <v:path/>
            <v:fill on="f" focussize="0,0"/>
            <v:stroke on="f"/>
            <v:imagedata r:id="rId6" o:title=""/>
            <o:lock v:ext="edit" aspectratio="t"/>
            <w10:wrap type="none"/>
            <w10:anchorlock/>
          </v:shape>
          <o:OLEObject Type="Embed" ProgID="Word.Document.8" ShapeID="_x0000_i1029" DrawAspect="Content" ObjectID="_1468075725" r:id="rId5">
            <o:LockedField>false</o:LockedField>
          </o:OLEObject>
        </w:object>
      </w:r>
    </w:p>
    <w:p>
      <w:pPr>
        <w:spacing w:line="360" w:lineRule="auto"/>
        <w:jc w:val="center"/>
        <w:outlineLvl w:val="0"/>
        <w:rPr>
          <w:rFonts w:hint="eastAsia" w:ascii="宋体" w:hAnsi="宋体" w:eastAsia="宋体" w:cs="宋体"/>
          <w:b/>
          <w:bCs/>
          <w:color w:val="000000"/>
          <w:spacing w:val="-10"/>
          <w:sz w:val="32"/>
          <w:szCs w:val="32"/>
        </w:rPr>
      </w:pPr>
    </w:p>
    <w:p>
      <w:pPr>
        <w:jc w:val="center"/>
        <w:rPr>
          <w:rFonts w:hint="eastAsia" w:eastAsia="方正小标宋简体"/>
          <w:sz w:val="72"/>
        </w:rPr>
      </w:pPr>
      <w:r>
        <w:rPr>
          <w:rFonts w:hint="eastAsia" w:eastAsia="方正小标宋简体"/>
          <w:sz w:val="72"/>
        </w:rPr>
        <w:t>建设项目环境影响报告表</w:t>
      </w:r>
    </w:p>
    <w:p>
      <w:pPr>
        <w:pStyle w:val="21"/>
        <w:rPr>
          <w:rFonts w:hint="eastAsia"/>
        </w:rPr>
      </w:pPr>
      <w:r>
        <w:rPr>
          <w:rFonts w:hint="eastAsia"/>
        </w:rPr>
        <w:t>（试  行）</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77"/>
        <w:rPr>
          <w:rFonts w:hint="eastAsia"/>
        </w:rPr>
      </w:pPr>
    </w:p>
    <w:p>
      <w:pPr>
        <w:pStyle w:val="11"/>
        <w:tabs>
          <w:tab w:val="left" w:pos="8607"/>
        </w:tabs>
        <w:ind w:firstLine="0"/>
        <w:rPr>
          <w:rFonts w:hint="eastAsia"/>
          <w:sz w:val="21"/>
        </w:rPr>
      </w:pPr>
    </w:p>
    <w:p>
      <w:pPr>
        <w:keepNext w:val="0"/>
        <w:keepLines w:val="0"/>
        <w:widowControl w:val="0"/>
        <w:suppressLineNumbers w:val="0"/>
        <w:adjustRightInd w:val="0"/>
        <w:snapToGrid w:val="0"/>
        <w:spacing w:before="600" w:beforeLines="250" w:beforeAutospacing="0" w:after="0" w:afterAutospacing="0"/>
        <w:ind w:left="-2835" w:leftChars="-1350" w:right="-2730" w:rightChars="-1300" w:firstLine="3000" w:firstLineChars="1000"/>
        <w:jc w:val="both"/>
        <w:textAlignment w:val="center"/>
        <w:rPr>
          <w:rFonts w:hint="eastAsia" w:ascii="宋体" w:hAnsi="宋体" w:eastAsia="仿宋_GB2312" w:cs="仿宋_GB2312"/>
          <w:spacing w:val="14"/>
          <w:kern w:val="0"/>
          <w:sz w:val="28"/>
          <w:szCs w:val="28"/>
          <w:u w:val="single"/>
          <w:lang w:val="en-US" w:eastAsia="zh-CN" w:bidi="ar-SA"/>
        </w:rPr>
      </w:pPr>
      <w:r>
        <w:rPr>
          <w:rFonts w:hint="eastAsia" w:eastAsia="黑体"/>
          <w:sz w:val="30"/>
          <w:szCs w:val="30"/>
        </w:rPr>
        <w:t>项目名称：</w:t>
      </w:r>
      <w:r>
        <w:rPr>
          <w:rFonts w:hint="eastAsia" w:ascii="宋体" w:hAnsi="宋体" w:eastAsia="仿宋_GB2312" w:cs="仿宋_GB2312"/>
          <w:spacing w:val="14"/>
          <w:kern w:val="0"/>
          <w:sz w:val="28"/>
          <w:szCs w:val="28"/>
          <w:u w:val="single"/>
          <w:lang w:val="en-US" w:eastAsia="zh-CN" w:bidi="ar-SA"/>
        </w:rPr>
        <w:t xml:space="preserve">五台燃气锅炉脱硫、除尘环保改造项目    </w:t>
      </w:r>
    </w:p>
    <w:p>
      <w:pPr>
        <w:keepNext w:val="0"/>
        <w:keepLines w:val="0"/>
        <w:widowControl w:val="0"/>
        <w:suppressLineNumbers w:val="0"/>
        <w:adjustRightInd w:val="0"/>
        <w:snapToGrid w:val="0"/>
        <w:spacing w:before="600" w:beforeLines="250" w:beforeAutospacing="0" w:after="0" w:afterAutospacing="0"/>
        <w:ind w:left="-2835" w:leftChars="-1350" w:right="-2730" w:rightChars="-1300" w:firstLine="3000" w:firstLineChars="1000"/>
        <w:jc w:val="both"/>
        <w:textAlignment w:val="center"/>
        <w:rPr>
          <w:rFonts w:hint="eastAsia" w:ascii="宋体" w:hAnsi="宋体"/>
          <w:szCs w:val="28"/>
          <w:lang w:val="en-US"/>
        </w:rPr>
      </w:pPr>
      <w:r>
        <w:rPr>
          <w:rFonts w:hint="eastAsia" w:ascii="黑体" w:eastAsia="黑体"/>
          <w:sz w:val="30"/>
          <w:szCs w:val="30"/>
        </w:rPr>
        <w:t>建设单位（盖章）：</w:t>
      </w:r>
      <w:r>
        <w:rPr>
          <w:rFonts w:hint="eastAsia" w:ascii="宋体" w:hAnsi="宋体"/>
          <w:spacing w:val="14"/>
          <w:sz w:val="28"/>
          <w:szCs w:val="28"/>
          <w:u w:val="single"/>
          <w:lang w:eastAsia="zh-CN"/>
        </w:rPr>
        <w:t xml:space="preserve"> </w:t>
      </w:r>
      <w:r>
        <w:rPr>
          <w:rFonts w:hint="eastAsia" w:ascii="宋体" w:hAnsi="宋体"/>
          <w:spacing w:val="14"/>
          <w:sz w:val="28"/>
          <w:szCs w:val="28"/>
          <w:u w:val="single"/>
          <w:lang w:val="en-US" w:eastAsia="zh-CN"/>
        </w:rPr>
        <w:t xml:space="preserve"> </w:t>
      </w:r>
      <w:r>
        <w:rPr>
          <w:rFonts w:hint="eastAsia" w:ascii="宋体" w:hAnsi="宋体" w:eastAsia="仿宋_GB2312" w:cs="仿宋_GB2312"/>
          <w:spacing w:val="14"/>
          <w:kern w:val="0"/>
          <w:sz w:val="28"/>
          <w:szCs w:val="28"/>
          <w:u w:val="single"/>
          <w:lang w:val="en-US" w:eastAsia="zh-CN" w:bidi="ar-SA"/>
        </w:rPr>
        <w:t xml:space="preserve"> 陕西华富新能源有限公司</w:t>
      </w:r>
      <w:r>
        <w:rPr>
          <w:rFonts w:hint="eastAsia" w:ascii="宋体" w:hAnsi="宋体"/>
          <w:spacing w:val="14"/>
          <w:sz w:val="28"/>
          <w:szCs w:val="28"/>
          <w:u w:val="single"/>
          <w:lang w:eastAsia="zh-CN"/>
        </w:rPr>
        <w:t xml:space="preserve">  </w:t>
      </w:r>
      <w:r>
        <w:rPr>
          <w:rFonts w:hint="eastAsia" w:ascii="宋体" w:hAnsi="宋体"/>
          <w:spacing w:val="14"/>
          <w:sz w:val="28"/>
          <w:szCs w:val="28"/>
          <w:u w:val="single"/>
          <w:lang w:val="en-US" w:eastAsia="zh-CN"/>
        </w:rPr>
        <w:t xml:space="preserve">     </w:t>
      </w:r>
    </w:p>
    <w:p>
      <w:pPr>
        <w:pStyle w:val="11"/>
        <w:tabs>
          <w:tab w:val="left" w:pos="8607"/>
        </w:tabs>
        <w:spacing w:before="156" w:beforeLines="50"/>
        <w:ind w:firstLine="709" w:firstLineChars="273"/>
        <w:rPr>
          <w:rFonts w:hint="eastAsia"/>
          <w:u w:val="single"/>
        </w:rPr>
      </w:pPr>
    </w:p>
    <w:p>
      <w:pPr>
        <w:rPr>
          <w:rFonts w:hint="eastAsia"/>
          <w:sz w:val="32"/>
        </w:rPr>
      </w:pPr>
    </w:p>
    <w:p>
      <w:pPr>
        <w:rPr>
          <w:rFonts w:hint="eastAsia"/>
          <w:sz w:val="32"/>
        </w:rPr>
      </w:pPr>
    </w:p>
    <w:p>
      <w:pPr>
        <w:spacing w:line="300" w:lineRule="exact"/>
        <w:ind w:firstLine="2240" w:firstLineChars="700"/>
        <w:rPr>
          <w:sz w:val="32"/>
        </w:rPr>
      </w:pPr>
    </w:p>
    <w:p>
      <w:pPr>
        <w:pStyle w:val="11"/>
        <w:tabs>
          <w:tab w:val="left" w:pos="8607"/>
        </w:tabs>
        <w:spacing w:line="300" w:lineRule="exact"/>
        <w:ind w:firstLine="2072" w:firstLineChars="797"/>
        <w:rPr>
          <w:rFonts w:hint="eastAsia"/>
        </w:rPr>
      </w:pPr>
    </w:p>
    <w:p>
      <w:pPr>
        <w:pStyle w:val="11"/>
        <w:tabs>
          <w:tab w:val="left" w:pos="8607"/>
        </w:tabs>
        <w:spacing w:line="240" w:lineRule="exact"/>
        <w:ind w:firstLine="0"/>
        <w:rPr>
          <w:rFonts w:hint="eastAsia"/>
        </w:rPr>
      </w:pPr>
    </w:p>
    <w:p>
      <w:pPr>
        <w:pStyle w:val="11"/>
        <w:tabs>
          <w:tab w:val="left" w:pos="8607"/>
        </w:tabs>
        <w:spacing w:line="240" w:lineRule="exact"/>
        <w:ind w:firstLine="0"/>
        <w:rPr>
          <w:rFonts w:hint="eastAsia"/>
        </w:rPr>
      </w:pPr>
    </w:p>
    <w:p>
      <w:pPr>
        <w:pStyle w:val="11"/>
        <w:tabs>
          <w:tab w:val="left" w:pos="8607"/>
        </w:tabs>
        <w:spacing w:line="40" w:lineRule="exact"/>
        <w:ind w:firstLine="0"/>
        <w:rPr>
          <w:rFonts w:hint="eastAsia"/>
        </w:rPr>
      </w:pPr>
    </w:p>
    <w:p>
      <w:pPr>
        <w:pStyle w:val="11"/>
        <w:tabs>
          <w:tab w:val="left" w:pos="8607"/>
        </w:tabs>
        <w:spacing w:line="360" w:lineRule="exact"/>
        <w:ind w:firstLine="2072" w:firstLineChars="797"/>
        <w:rPr>
          <w:rFonts w:hint="eastAsia"/>
        </w:rPr>
      </w:pPr>
    </w:p>
    <w:p>
      <w:pPr>
        <w:pStyle w:val="11"/>
        <w:tabs>
          <w:tab w:val="left" w:pos="8607"/>
        </w:tabs>
        <w:ind w:firstLine="1650" w:firstLineChars="550"/>
        <w:rPr>
          <w:rFonts w:hint="eastAsia"/>
          <w:sz w:val="32"/>
        </w:rPr>
      </w:pPr>
    </w:p>
    <w:p>
      <w:pPr>
        <w:pStyle w:val="11"/>
        <w:tabs>
          <w:tab w:val="left" w:pos="8607"/>
        </w:tabs>
        <w:ind w:firstLine="1650" w:firstLineChars="550"/>
        <w:rPr>
          <w:rFonts w:hint="eastAsia"/>
          <w:sz w:val="32"/>
        </w:rPr>
      </w:pPr>
    </w:p>
    <w:p>
      <w:pPr>
        <w:pStyle w:val="11"/>
        <w:tabs>
          <w:tab w:val="left" w:pos="8607"/>
        </w:tabs>
        <w:ind w:firstLine="1650" w:firstLineChars="550"/>
        <w:rPr>
          <w:rFonts w:hint="eastAsia"/>
          <w:sz w:val="32"/>
        </w:rPr>
      </w:pPr>
    </w:p>
    <w:p>
      <w:pPr>
        <w:pStyle w:val="11"/>
        <w:tabs>
          <w:tab w:val="left" w:pos="8607"/>
        </w:tabs>
        <w:ind w:firstLine="2100" w:firstLineChars="700"/>
        <w:rPr>
          <w:sz w:val="32"/>
        </w:rPr>
      </w:pPr>
      <w:r>
        <w:rPr>
          <w:rFonts w:hint="eastAsia"/>
          <w:sz w:val="32"/>
        </w:rPr>
        <w:t>编制日期：二○一</w:t>
      </w:r>
      <w:r>
        <w:rPr>
          <w:rFonts w:hint="eastAsia"/>
          <w:sz w:val="32"/>
          <w:lang w:eastAsia="zh-CN"/>
        </w:rPr>
        <w:t>八</w:t>
      </w:r>
      <w:r>
        <w:rPr>
          <w:rFonts w:hint="eastAsia"/>
          <w:sz w:val="32"/>
        </w:rPr>
        <w:t>年</w:t>
      </w:r>
      <w:r>
        <w:rPr>
          <w:rFonts w:hint="eastAsia"/>
          <w:sz w:val="32"/>
          <w:lang w:eastAsia="zh-CN"/>
        </w:rPr>
        <w:t>七</w:t>
      </w:r>
      <w:r>
        <w:rPr>
          <w:rFonts w:hint="eastAsia"/>
          <w:sz w:val="32"/>
        </w:rPr>
        <w:t>月</w:t>
      </w:r>
    </w:p>
    <w:p>
      <w:pPr>
        <w:pStyle w:val="11"/>
        <w:keepNext w:val="0"/>
        <w:keepLines w:val="0"/>
        <w:pageBreakBefore w:val="0"/>
        <w:widowControl w:val="0"/>
        <w:tabs>
          <w:tab w:val="left" w:pos="8607"/>
        </w:tabs>
        <w:kinsoku/>
        <w:wordWrap/>
        <w:overflowPunct/>
        <w:topLinePunct w:val="0"/>
        <w:autoSpaceDE/>
        <w:autoSpaceDN/>
        <w:bidi w:val="0"/>
        <w:adjustRightInd/>
        <w:snapToGrid/>
        <w:spacing w:before="157" w:beforeLines="50" w:line="360" w:lineRule="auto"/>
        <w:ind w:left="0" w:leftChars="0" w:right="0" w:rightChars="0" w:firstLine="750" w:firstLineChars="250"/>
        <w:jc w:val="both"/>
        <w:textAlignment w:val="auto"/>
        <w:outlineLvl w:val="9"/>
      </w:pPr>
      <w:r>
        <w:rPr>
          <w:rFonts w:hint="eastAsia"/>
          <w:sz w:val="32"/>
          <w:lang w:val="en-US" w:eastAsia="zh-CN"/>
        </w:rPr>
        <w:t xml:space="preserve">               </w:t>
      </w:r>
      <w:r>
        <w:rPr>
          <w:rFonts w:hint="eastAsia"/>
          <w:sz w:val="32"/>
        </w:rPr>
        <w:t>国家环境保护总局</w:t>
      </w:r>
    </w:p>
    <w:p>
      <w:pPr>
        <w:spacing w:line="360" w:lineRule="auto"/>
        <w:jc w:val="center"/>
        <w:outlineLvl w:val="0"/>
        <w:rPr>
          <w:rFonts w:hint="eastAsia" w:ascii="宋体" w:hAnsi="宋体" w:eastAsia="宋体" w:cs="宋体"/>
          <w:b/>
          <w:bCs/>
          <w:color w:val="000000"/>
          <w:spacing w:val="-10"/>
          <w:sz w:val="32"/>
          <w:szCs w:val="32"/>
        </w:rPr>
      </w:pPr>
    </w:p>
    <w:p>
      <w:pPr>
        <w:spacing w:line="360" w:lineRule="auto"/>
        <w:jc w:val="center"/>
        <w:outlineLvl w:val="0"/>
        <w:rPr>
          <w:rFonts w:hint="eastAsia" w:ascii="宋体" w:hAnsi="宋体" w:eastAsia="宋体" w:cs="宋体"/>
          <w:b/>
          <w:bCs/>
          <w:spacing w:val="32"/>
          <w:sz w:val="32"/>
          <w:szCs w:val="32"/>
        </w:rPr>
      </w:pPr>
      <w:r>
        <w:rPr>
          <w:rFonts w:hint="eastAsia" w:ascii="宋体" w:hAnsi="宋体" w:eastAsia="宋体" w:cs="宋体"/>
          <w:b/>
          <w:bCs/>
          <w:color w:val="000000"/>
          <w:spacing w:val="-10"/>
          <w:sz w:val="32"/>
          <w:szCs w:val="32"/>
        </w:rPr>
        <w:t>陕西华富新能源有限公司五台燃气锅炉脱硫、除尘环保改造项目环境影响报告表编制人员名单表</w:t>
      </w:r>
    </w:p>
    <w:p>
      <w:pPr>
        <w:spacing w:line="360" w:lineRule="auto"/>
        <w:jc w:val="center"/>
        <w:outlineLvl w:val="0"/>
        <w:rPr>
          <w:rFonts w:eastAsia="黑体"/>
          <w:b/>
          <w:spacing w:val="32"/>
          <w:sz w:val="32"/>
          <w:szCs w:val="32"/>
        </w:rPr>
      </w:pPr>
    </w:p>
    <w:tbl>
      <w:tblPr>
        <w:tblStyle w:val="26"/>
        <w:tblW w:w="884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2"/>
        <w:gridCol w:w="550"/>
        <w:gridCol w:w="1092"/>
        <w:gridCol w:w="1596"/>
        <w:gridCol w:w="1650"/>
        <w:gridCol w:w="1814"/>
        <w:gridCol w:w="17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85" w:hRule="exact"/>
          <w:jc w:val="center"/>
        </w:trPr>
        <w:tc>
          <w:tcPr>
            <w:tcW w:w="982" w:type="dxa"/>
            <w:gridSpan w:val="2"/>
            <w:vMerge w:val="restart"/>
            <w:tcBorders>
              <w:top w:val="single" w:color="auto" w:sz="12" w:space="0"/>
              <w:left w:val="single" w:color="auto" w:sz="12" w:space="0"/>
            </w:tcBorders>
            <w:vAlign w:val="center"/>
          </w:tcPr>
          <w:p>
            <w:pPr>
              <w:adjustRightInd w:val="0"/>
              <w:snapToGrid w:val="0"/>
              <w:spacing w:line="320" w:lineRule="exact"/>
              <w:jc w:val="center"/>
              <w:rPr>
                <w:rFonts w:ascii="黑体" w:eastAsia="黑体"/>
              </w:rPr>
            </w:pPr>
            <w:r>
              <w:rPr>
                <w:rFonts w:hint="eastAsia" w:ascii="黑体" w:eastAsia="黑体"/>
              </w:rPr>
              <w:t>编制</w:t>
            </w:r>
          </w:p>
          <w:p>
            <w:pPr>
              <w:adjustRightInd w:val="0"/>
              <w:snapToGrid w:val="0"/>
              <w:spacing w:line="320" w:lineRule="exact"/>
              <w:jc w:val="center"/>
              <w:rPr>
                <w:rFonts w:ascii="黑体" w:eastAsia="黑体"/>
              </w:rPr>
            </w:pPr>
            <w:r>
              <w:rPr>
                <w:rFonts w:hint="eastAsia" w:ascii="黑体" w:eastAsia="黑体"/>
              </w:rPr>
              <w:t>主持人</w:t>
            </w:r>
          </w:p>
        </w:tc>
        <w:tc>
          <w:tcPr>
            <w:tcW w:w="1092" w:type="dxa"/>
            <w:tcBorders>
              <w:top w:val="single" w:color="auto" w:sz="12" w:space="0"/>
            </w:tcBorders>
            <w:vAlign w:val="center"/>
          </w:tcPr>
          <w:p>
            <w:pPr>
              <w:adjustRightInd w:val="0"/>
              <w:snapToGrid w:val="0"/>
              <w:spacing w:line="320" w:lineRule="exact"/>
              <w:jc w:val="center"/>
              <w:rPr>
                <w:rFonts w:ascii="宋体" w:hAnsi="宋体"/>
              </w:rPr>
            </w:pPr>
            <w:r>
              <w:rPr>
                <w:rFonts w:hint="eastAsia" w:ascii="宋体" w:hAnsi="宋体"/>
              </w:rPr>
              <w:t>姓名</w:t>
            </w:r>
          </w:p>
        </w:tc>
        <w:tc>
          <w:tcPr>
            <w:tcW w:w="1596" w:type="dxa"/>
            <w:tcBorders>
              <w:top w:val="single" w:color="auto" w:sz="12" w:space="0"/>
            </w:tcBorders>
            <w:vAlign w:val="center"/>
          </w:tcPr>
          <w:p>
            <w:pPr>
              <w:adjustRightInd w:val="0"/>
              <w:snapToGrid w:val="0"/>
              <w:spacing w:line="320" w:lineRule="exact"/>
              <w:jc w:val="center"/>
              <w:rPr>
                <w:rFonts w:ascii="宋体" w:hAnsi="宋体"/>
              </w:rPr>
            </w:pPr>
            <w:r>
              <w:rPr>
                <w:rFonts w:hint="eastAsia" w:ascii="宋体" w:hAnsi="宋体"/>
              </w:rPr>
              <w:t>职（执）业资格证书编号</w:t>
            </w:r>
          </w:p>
        </w:tc>
        <w:tc>
          <w:tcPr>
            <w:tcW w:w="1650" w:type="dxa"/>
            <w:tcBorders>
              <w:top w:val="single" w:color="auto" w:sz="12" w:space="0"/>
            </w:tcBorders>
            <w:vAlign w:val="center"/>
          </w:tcPr>
          <w:p>
            <w:pPr>
              <w:adjustRightInd w:val="0"/>
              <w:snapToGrid w:val="0"/>
              <w:spacing w:line="320" w:lineRule="exact"/>
              <w:jc w:val="center"/>
              <w:rPr>
                <w:rFonts w:ascii="宋体" w:hAnsi="宋体"/>
              </w:rPr>
            </w:pPr>
            <w:r>
              <w:rPr>
                <w:rFonts w:hint="eastAsia" w:ascii="宋体" w:hAnsi="宋体"/>
              </w:rPr>
              <w:t>登记（注册证）编号</w:t>
            </w:r>
          </w:p>
        </w:tc>
        <w:tc>
          <w:tcPr>
            <w:tcW w:w="1814" w:type="dxa"/>
            <w:tcBorders>
              <w:top w:val="single" w:color="auto" w:sz="12" w:space="0"/>
            </w:tcBorders>
            <w:vAlign w:val="center"/>
          </w:tcPr>
          <w:p>
            <w:pPr>
              <w:adjustRightInd w:val="0"/>
              <w:snapToGrid w:val="0"/>
              <w:spacing w:line="320" w:lineRule="exact"/>
              <w:jc w:val="center"/>
              <w:rPr>
                <w:rFonts w:ascii="宋体" w:hAnsi="宋体"/>
              </w:rPr>
            </w:pPr>
            <w:r>
              <w:rPr>
                <w:rFonts w:hint="eastAsia" w:ascii="宋体" w:hAnsi="宋体"/>
              </w:rPr>
              <w:t>专业类别</w:t>
            </w:r>
          </w:p>
        </w:tc>
        <w:tc>
          <w:tcPr>
            <w:tcW w:w="1706" w:type="dxa"/>
            <w:tcBorders>
              <w:top w:val="single" w:color="auto" w:sz="12" w:space="0"/>
              <w:right w:val="single" w:color="auto" w:sz="12" w:space="0"/>
            </w:tcBorders>
            <w:vAlign w:val="center"/>
          </w:tcPr>
          <w:p>
            <w:pPr>
              <w:adjustRightInd w:val="0"/>
              <w:snapToGrid w:val="0"/>
              <w:spacing w:line="320" w:lineRule="exact"/>
              <w:jc w:val="center"/>
              <w:rPr>
                <w:rFonts w:ascii="宋体" w:hAnsi="宋体"/>
              </w:rPr>
            </w:pPr>
            <w:r>
              <w:rPr>
                <w:rFonts w:hint="eastAsia" w:ascii="宋体" w:hAnsi="宋体"/>
              </w:rPr>
              <w:t>本人签名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63" w:hRule="exact"/>
          <w:jc w:val="center"/>
        </w:trPr>
        <w:tc>
          <w:tcPr>
            <w:tcW w:w="982" w:type="dxa"/>
            <w:gridSpan w:val="2"/>
            <w:vMerge w:val="continue"/>
            <w:tcBorders>
              <w:left w:val="single" w:color="auto" w:sz="12" w:space="0"/>
            </w:tcBorders>
            <w:vAlign w:val="center"/>
          </w:tcPr>
          <w:p>
            <w:pPr>
              <w:adjustRightInd w:val="0"/>
              <w:snapToGrid w:val="0"/>
              <w:spacing w:line="320" w:lineRule="exact"/>
              <w:jc w:val="center"/>
              <w:rPr>
                <w:rFonts w:ascii="黑体" w:eastAsia="黑体"/>
              </w:rPr>
            </w:pPr>
          </w:p>
        </w:tc>
        <w:tc>
          <w:tcPr>
            <w:tcW w:w="1092" w:type="dxa"/>
            <w:vAlign w:val="center"/>
          </w:tcPr>
          <w:p>
            <w:pPr>
              <w:adjustRightInd w:val="0"/>
              <w:snapToGrid w:val="0"/>
              <w:spacing w:line="280" w:lineRule="exact"/>
              <w:ind w:firstLine="210" w:firstLineChars="100"/>
              <w:rPr>
                <w:rFonts w:hint="eastAsia" w:ascii="宋体" w:hAnsi="宋体"/>
              </w:rPr>
            </w:pPr>
            <w:r>
              <w:rPr>
                <w:rFonts w:hint="eastAsia" w:ascii="宋体" w:hAnsi="宋体"/>
                <w:lang w:val="en-US" w:eastAsia="zh-CN"/>
              </w:rPr>
              <w:t>郭战英</w:t>
            </w:r>
          </w:p>
        </w:tc>
        <w:tc>
          <w:tcPr>
            <w:tcW w:w="1596" w:type="dxa"/>
            <w:vAlign w:val="center"/>
          </w:tcPr>
          <w:p>
            <w:pPr>
              <w:adjustRightInd w:val="0"/>
              <w:snapToGrid w:val="0"/>
              <w:spacing w:line="280" w:lineRule="exact"/>
              <w:ind w:firstLine="420" w:firstLineChars="200"/>
              <w:rPr>
                <w:rFonts w:hint="eastAsia" w:ascii="宋体" w:hAnsi="宋体"/>
              </w:rPr>
            </w:pPr>
            <w:r>
              <w:rPr>
                <w:rFonts w:hint="eastAsia" w:ascii="宋体" w:hAnsi="宋体"/>
                <w:lang w:val="en-US" w:eastAsia="zh-CN"/>
              </w:rPr>
              <w:t>0004994</w:t>
            </w:r>
          </w:p>
        </w:tc>
        <w:tc>
          <w:tcPr>
            <w:tcW w:w="1650" w:type="dxa"/>
            <w:vAlign w:val="center"/>
          </w:tcPr>
          <w:p>
            <w:pPr>
              <w:adjustRightInd w:val="0"/>
              <w:snapToGrid w:val="0"/>
              <w:spacing w:line="280" w:lineRule="exact"/>
              <w:ind w:firstLine="210" w:firstLineChars="100"/>
              <w:rPr>
                <w:rFonts w:hint="eastAsia" w:ascii="宋体" w:hAnsi="宋体"/>
              </w:rPr>
            </w:pPr>
            <w:r>
              <w:rPr>
                <w:rFonts w:hint="eastAsia" w:ascii="宋体" w:hAnsi="宋体"/>
                <w:lang w:val="en-US" w:eastAsia="zh-CN"/>
              </w:rPr>
              <w:t>B360603003</w:t>
            </w:r>
          </w:p>
        </w:tc>
        <w:tc>
          <w:tcPr>
            <w:tcW w:w="1814" w:type="dxa"/>
            <w:vAlign w:val="center"/>
          </w:tcPr>
          <w:p>
            <w:pPr>
              <w:adjustRightInd w:val="0"/>
              <w:snapToGrid w:val="0"/>
              <w:spacing w:line="320" w:lineRule="exact"/>
              <w:jc w:val="center"/>
              <w:rPr>
                <w:rFonts w:hint="eastAsia" w:ascii="黑体" w:eastAsia="黑体"/>
                <w:lang w:val="en-US" w:eastAsia="zh-CN"/>
              </w:rPr>
            </w:pPr>
            <w:r>
              <w:rPr>
                <w:rFonts w:hint="eastAsia" w:ascii="宋体" w:hAnsi="宋体"/>
                <w:lang w:val="en-US" w:eastAsia="zh-CN"/>
              </w:rPr>
              <w:t>冶金机电</w:t>
            </w:r>
          </w:p>
        </w:tc>
        <w:tc>
          <w:tcPr>
            <w:tcW w:w="1706" w:type="dxa"/>
            <w:tcBorders>
              <w:right w:val="single" w:color="auto" w:sz="12" w:space="0"/>
            </w:tcBorders>
            <w:vAlign w:val="center"/>
          </w:tcPr>
          <w:p>
            <w:pPr>
              <w:adjustRightInd w:val="0"/>
              <w:snapToGrid w:val="0"/>
              <w:spacing w:line="320" w:lineRule="exact"/>
              <w:jc w:val="center"/>
              <w:rPr>
                <w:rFonts w:ascii="黑体" w:eastAsia="黑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73" w:hRule="exact"/>
          <w:jc w:val="center"/>
        </w:trPr>
        <w:tc>
          <w:tcPr>
            <w:tcW w:w="432" w:type="dxa"/>
            <w:vMerge w:val="restart"/>
            <w:tcBorders>
              <w:left w:val="single" w:color="auto" w:sz="12" w:space="0"/>
            </w:tcBorders>
            <w:vAlign w:val="center"/>
          </w:tcPr>
          <w:p>
            <w:pPr>
              <w:adjustRightInd w:val="0"/>
              <w:snapToGrid w:val="0"/>
              <w:spacing w:line="320" w:lineRule="exact"/>
              <w:jc w:val="center"/>
              <w:rPr>
                <w:rFonts w:ascii="黑体" w:eastAsia="黑体"/>
              </w:rPr>
            </w:pPr>
            <w:r>
              <w:rPr>
                <w:rFonts w:hint="eastAsia" w:ascii="黑体" w:eastAsia="黑体"/>
              </w:rPr>
              <w:t>主要编制人员情况</w:t>
            </w:r>
          </w:p>
        </w:tc>
        <w:tc>
          <w:tcPr>
            <w:tcW w:w="550" w:type="dxa"/>
            <w:vAlign w:val="center"/>
          </w:tcPr>
          <w:p>
            <w:pPr>
              <w:adjustRightInd w:val="0"/>
              <w:snapToGrid w:val="0"/>
              <w:jc w:val="center"/>
              <w:rPr>
                <w:rFonts w:ascii="宋体" w:hAnsi="宋体"/>
              </w:rPr>
            </w:pPr>
            <w:r>
              <w:rPr>
                <w:rFonts w:hint="eastAsia" w:ascii="宋体" w:hAnsi="宋体"/>
              </w:rPr>
              <w:t>序号</w:t>
            </w:r>
          </w:p>
        </w:tc>
        <w:tc>
          <w:tcPr>
            <w:tcW w:w="1092" w:type="dxa"/>
            <w:vAlign w:val="center"/>
          </w:tcPr>
          <w:p>
            <w:pPr>
              <w:adjustRightInd w:val="0"/>
              <w:snapToGrid w:val="0"/>
              <w:spacing w:line="320" w:lineRule="exact"/>
              <w:jc w:val="center"/>
              <w:rPr>
                <w:rFonts w:ascii="宋体" w:hAnsi="宋体"/>
              </w:rPr>
            </w:pPr>
            <w:r>
              <w:rPr>
                <w:rFonts w:hint="eastAsia" w:ascii="宋体" w:hAnsi="宋体"/>
              </w:rPr>
              <w:t>姓名</w:t>
            </w:r>
          </w:p>
        </w:tc>
        <w:tc>
          <w:tcPr>
            <w:tcW w:w="1596" w:type="dxa"/>
            <w:vAlign w:val="center"/>
          </w:tcPr>
          <w:p>
            <w:pPr>
              <w:adjustRightInd w:val="0"/>
              <w:snapToGrid w:val="0"/>
              <w:spacing w:line="320" w:lineRule="exact"/>
              <w:jc w:val="center"/>
            </w:pPr>
            <w:r>
              <w:rPr>
                <w:rFonts w:hAnsi="宋体"/>
              </w:rPr>
              <w:t>职（执）业资格证书编号</w:t>
            </w:r>
          </w:p>
        </w:tc>
        <w:tc>
          <w:tcPr>
            <w:tcW w:w="1650" w:type="dxa"/>
            <w:vAlign w:val="center"/>
          </w:tcPr>
          <w:p>
            <w:pPr>
              <w:adjustRightInd w:val="0"/>
              <w:snapToGrid w:val="0"/>
              <w:spacing w:line="320" w:lineRule="exact"/>
              <w:jc w:val="center"/>
            </w:pPr>
            <w:r>
              <w:rPr>
                <w:rFonts w:hAnsi="宋体"/>
              </w:rPr>
              <w:t>登记（注册证）编号</w:t>
            </w:r>
          </w:p>
        </w:tc>
        <w:tc>
          <w:tcPr>
            <w:tcW w:w="1814" w:type="dxa"/>
            <w:vAlign w:val="center"/>
          </w:tcPr>
          <w:p>
            <w:pPr>
              <w:adjustRightInd w:val="0"/>
              <w:snapToGrid w:val="0"/>
              <w:spacing w:line="320" w:lineRule="exact"/>
              <w:jc w:val="center"/>
              <w:rPr>
                <w:rFonts w:ascii="宋体" w:hAnsi="宋体"/>
              </w:rPr>
            </w:pPr>
            <w:r>
              <w:rPr>
                <w:rFonts w:hint="eastAsia" w:ascii="宋体" w:hAnsi="宋体"/>
              </w:rPr>
              <w:t>编制内容</w:t>
            </w:r>
          </w:p>
        </w:tc>
        <w:tc>
          <w:tcPr>
            <w:tcW w:w="1706" w:type="dxa"/>
            <w:tcBorders>
              <w:right w:val="single" w:color="auto" w:sz="12" w:space="0"/>
            </w:tcBorders>
            <w:vAlign w:val="center"/>
          </w:tcPr>
          <w:p>
            <w:pPr>
              <w:adjustRightInd w:val="0"/>
              <w:snapToGrid w:val="0"/>
              <w:spacing w:line="320" w:lineRule="exact"/>
              <w:jc w:val="center"/>
              <w:rPr>
                <w:rFonts w:ascii="宋体" w:hAnsi="宋体"/>
              </w:rPr>
            </w:pPr>
            <w:r>
              <w:rPr>
                <w:rFonts w:hint="eastAsia" w:ascii="宋体" w:hAnsi="宋体"/>
              </w:rPr>
              <w:t>本人签名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72" w:hRule="exact"/>
          <w:jc w:val="center"/>
        </w:trPr>
        <w:tc>
          <w:tcPr>
            <w:tcW w:w="432" w:type="dxa"/>
            <w:vMerge w:val="continue"/>
            <w:tcBorders>
              <w:left w:val="single" w:color="auto" w:sz="12" w:space="0"/>
            </w:tcBorders>
            <w:vAlign w:val="center"/>
          </w:tcPr>
          <w:p>
            <w:pPr>
              <w:adjustRightInd w:val="0"/>
              <w:snapToGrid w:val="0"/>
              <w:spacing w:line="320" w:lineRule="exact"/>
              <w:jc w:val="center"/>
              <w:rPr>
                <w:rFonts w:ascii="黑体" w:hAnsi="仿宋" w:eastAsia="黑体"/>
              </w:rPr>
            </w:pPr>
          </w:p>
        </w:tc>
        <w:tc>
          <w:tcPr>
            <w:tcW w:w="550" w:type="dxa"/>
            <w:vAlign w:val="center"/>
          </w:tcPr>
          <w:p>
            <w:pPr>
              <w:adjustRightInd w:val="0"/>
              <w:snapToGrid w:val="0"/>
              <w:spacing w:line="280" w:lineRule="exact"/>
              <w:ind w:firstLine="210" w:firstLineChars="100"/>
              <w:rPr>
                <w:rFonts w:hint="eastAsia" w:ascii="宋体" w:hAnsi="宋体"/>
              </w:rPr>
            </w:pPr>
            <w:r>
              <w:rPr>
                <w:rFonts w:hint="eastAsia" w:ascii="宋体" w:hAnsi="宋体"/>
              </w:rPr>
              <w:t>1</w:t>
            </w:r>
          </w:p>
        </w:tc>
        <w:tc>
          <w:tcPr>
            <w:tcW w:w="1092" w:type="dxa"/>
            <w:vAlign w:val="center"/>
          </w:tcPr>
          <w:p>
            <w:pPr>
              <w:adjustRightInd w:val="0"/>
              <w:snapToGrid w:val="0"/>
              <w:spacing w:line="280" w:lineRule="exact"/>
              <w:ind w:firstLine="210" w:firstLineChars="100"/>
              <w:rPr>
                <w:rFonts w:hint="eastAsia" w:ascii="宋体" w:hAnsi="宋体"/>
              </w:rPr>
            </w:pPr>
            <w:r>
              <w:rPr>
                <w:rFonts w:hint="eastAsia" w:ascii="宋体" w:hAnsi="宋体"/>
                <w:lang w:val="en-US" w:eastAsia="zh-CN"/>
              </w:rPr>
              <w:t>郭战英</w:t>
            </w:r>
          </w:p>
        </w:tc>
        <w:tc>
          <w:tcPr>
            <w:tcW w:w="1596" w:type="dxa"/>
            <w:vAlign w:val="center"/>
          </w:tcPr>
          <w:p>
            <w:pPr>
              <w:adjustRightInd w:val="0"/>
              <w:snapToGrid w:val="0"/>
              <w:spacing w:line="280" w:lineRule="exact"/>
              <w:ind w:firstLine="420" w:firstLineChars="200"/>
              <w:rPr>
                <w:rFonts w:hint="eastAsia" w:ascii="宋体" w:hAnsi="宋体"/>
              </w:rPr>
            </w:pPr>
            <w:r>
              <w:rPr>
                <w:rFonts w:hint="eastAsia" w:ascii="宋体" w:hAnsi="宋体"/>
                <w:lang w:val="en-US" w:eastAsia="zh-CN"/>
              </w:rPr>
              <w:t>0004994</w:t>
            </w:r>
          </w:p>
        </w:tc>
        <w:tc>
          <w:tcPr>
            <w:tcW w:w="1650" w:type="dxa"/>
            <w:vAlign w:val="center"/>
          </w:tcPr>
          <w:p>
            <w:pPr>
              <w:adjustRightInd w:val="0"/>
              <w:snapToGrid w:val="0"/>
              <w:spacing w:line="280" w:lineRule="exact"/>
              <w:ind w:firstLine="210" w:firstLineChars="100"/>
              <w:rPr>
                <w:rFonts w:hint="eastAsia" w:ascii="宋体" w:hAnsi="宋体"/>
              </w:rPr>
            </w:pPr>
            <w:r>
              <w:rPr>
                <w:rFonts w:hint="eastAsia" w:ascii="宋体" w:hAnsi="宋体"/>
                <w:lang w:val="en-US" w:eastAsia="zh-CN"/>
              </w:rPr>
              <w:t>B360603003</w:t>
            </w:r>
          </w:p>
        </w:tc>
        <w:tc>
          <w:tcPr>
            <w:tcW w:w="1814" w:type="dxa"/>
            <w:vAlign w:val="center"/>
          </w:tcPr>
          <w:p>
            <w:pPr>
              <w:adjustRightInd w:val="0"/>
              <w:snapToGrid w:val="0"/>
              <w:spacing w:line="280" w:lineRule="exact"/>
              <w:rPr>
                <w:rFonts w:ascii="宋体" w:hAnsi="宋体"/>
              </w:rPr>
            </w:pPr>
            <w:r>
              <w:rPr>
                <w:rFonts w:hint="eastAsia" w:ascii="宋体" w:hAnsi="宋体"/>
              </w:rPr>
              <w:t>项目概况、自然社会环境、环境质量现状、工程分析、环境影响分析及采取措施</w:t>
            </w:r>
          </w:p>
        </w:tc>
        <w:tc>
          <w:tcPr>
            <w:tcW w:w="1706" w:type="dxa"/>
            <w:tcBorders>
              <w:right w:val="single" w:color="auto" w:sz="12" w:space="0"/>
            </w:tcBorders>
            <w:vAlign w:val="center"/>
          </w:tcPr>
          <w:p>
            <w:pPr>
              <w:adjustRightInd w:val="0"/>
              <w:snapToGrid w:val="0"/>
              <w:spacing w:line="360" w:lineRule="auto"/>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66" w:hRule="exact"/>
          <w:jc w:val="center"/>
        </w:trPr>
        <w:tc>
          <w:tcPr>
            <w:tcW w:w="432" w:type="dxa"/>
            <w:vMerge w:val="continue"/>
            <w:tcBorders>
              <w:left w:val="single" w:color="auto" w:sz="12" w:space="0"/>
            </w:tcBorders>
            <w:vAlign w:val="center"/>
          </w:tcPr>
          <w:p>
            <w:pPr>
              <w:adjustRightInd w:val="0"/>
              <w:snapToGrid w:val="0"/>
              <w:spacing w:line="320" w:lineRule="exact"/>
              <w:jc w:val="center"/>
              <w:rPr>
                <w:rFonts w:ascii="黑体" w:hAnsi="仿宋" w:eastAsia="黑体"/>
              </w:rPr>
            </w:pPr>
          </w:p>
        </w:tc>
        <w:tc>
          <w:tcPr>
            <w:tcW w:w="550" w:type="dxa"/>
            <w:vAlign w:val="center"/>
          </w:tcPr>
          <w:p>
            <w:pPr>
              <w:adjustRightInd w:val="0"/>
              <w:snapToGrid w:val="0"/>
              <w:spacing w:line="280" w:lineRule="exact"/>
              <w:ind w:firstLine="210" w:firstLineChars="100"/>
              <w:rPr>
                <w:rFonts w:hint="eastAsia" w:ascii="宋体" w:hAnsi="宋体"/>
              </w:rPr>
            </w:pPr>
            <w:r>
              <w:rPr>
                <w:rFonts w:hint="eastAsia" w:ascii="宋体" w:hAnsi="宋体"/>
              </w:rPr>
              <w:t>2</w:t>
            </w:r>
          </w:p>
        </w:tc>
        <w:tc>
          <w:tcPr>
            <w:tcW w:w="1092" w:type="dxa"/>
            <w:vAlign w:val="center"/>
          </w:tcPr>
          <w:p>
            <w:pPr>
              <w:adjustRightInd w:val="0"/>
              <w:snapToGrid w:val="0"/>
              <w:spacing w:line="280" w:lineRule="exact"/>
              <w:ind w:firstLine="210" w:firstLineChars="100"/>
              <w:rPr>
                <w:rFonts w:hint="eastAsia" w:ascii="宋体" w:hAnsi="宋体"/>
                <w:lang w:eastAsia="zh-CN"/>
              </w:rPr>
            </w:pPr>
            <w:r>
              <w:rPr>
                <w:rFonts w:hint="eastAsia" w:ascii="宋体" w:hAnsi="宋体"/>
              </w:rPr>
              <w:t>龚文姣</w:t>
            </w:r>
          </w:p>
        </w:tc>
        <w:tc>
          <w:tcPr>
            <w:tcW w:w="1596" w:type="dxa"/>
            <w:vAlign w:val="center"/>
          </w:tcPr>
          <w:p>
            <w:pPr>
              <w:adjustRightInd w:val="0"/>
              <w:snapToGrid w:val="0"/>
              <w:spacing w:line="280" w:lineRule="exact"/>
              <w:ind w:firstLine="420" w:firstLineChars="200"/>
              <w:rPr>
                <w:rFonts w:hint="eastAsia" w:ascii="宋体" w:hAnsi="宋体"/>
              </w:rPr>
            </w:pPr>
            <w:r>
              <w:rPr>
                <w:rFonts w:hint="eastAsia" w:ascii="宋体" w:hAnsi="宋体"/>
              </w:rPr>
              <w:t>0010476</w:t>
            </w:r>
          </w:p>
        </w:tc>
        <w:tc>
          <w:tcPr>
            <w:tcW w:w="1650" w:type="dxa"/>
            <w:vAlign w:val="center"/>
          </w:tcPr>
          <w:p>
            <w:pPr>
              <w:adjustRightInd w:val="0"/>
              <w:snapToGrid w:val="0"/>
              <w:spacing w:line="280" w:lineRule="exact"/>
              <w:ind w:firstLine="210" w:firstLineChars="100"/>
              <w:rPr>
                <w:rFonts w:hint="eastAsia" w:ascii="宋体" w:hAnsi="宋体"/>
              </w:rPr>
            </w:pPr>
            <w:r>
              <w:rPr>
                <w:rFonts w:hint="eastAsia" w:ascii="宋体" w:hAnsi="宋体"/>
                <w:lang w:val="en-US" w:eastAsia="zh-CN"/>
              </w:rPr>
              <w:t>B360604307</w:t>
            </w:r>
          </w:p>
        </w:tc>
        <w:tc>
          <w:tcPr>
            <w:tcW w:w="1814" w:type="dxa"/>
            <w:vAlign w:val="center"/>
          </w:tcPr>
          <w:p>
            <w:pPr>
              <w:adjustRightInd w:val="0"/>
              <w:snapToGrid w:val="0"/>
              <w:spacing w:beforeLines="50" w:line="360" w:lineRule="auto"/>
              <w:jc w:val="center"/>
              <w:rPr>
                <w:rFonts w:hint="eastAsia" w:ascii="宋体" w:hAnsi="宋体"/>
              </w:rPr>
            </w:pPr>
            <w:r>
              <w:rPr>
                <w:rFonts w:hint="eastAsia" w:ascii="宋体" w:hAnsi="宋体"/>
              </w:rPr>
              <w:t>环境影响分析、项目拟采取的防治措施及预期治理效果、结论与建议</w:t>
            </w:r>
          </w:p>
        </w:tc>
        <w:tc>
          <w:tcPr>
            <w:tcW w:w="1706" w:type="dxa"/>
            <w:tcBorders>
              <w:right w:val="single" w:color="auto" w:sz="12" w:space="0"/>
            </w:tcBorders>
            <w:vAlign w:val="center"/>
          </w:tcPr>
          <w:p>
            <w:pPr>
              <w:adjustRightInd w:val="0"/>
              <w:snapToGrid w:val="0"/>
              <w:spacing w:line="360" w:lineRule="auto"/>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86" w:hRule="exact"/>
          <w:jc w:val="center"/>
        </w:trPr>
        <w:tc>
          <w:tcPr>
            <w:tcW w:w="432" w:type="dxa"/>
            <w:vMerge w:val="continue"/>
            <w:tcBorders>
              <w:left w:val="single" w:color="auto" w:sz="12" w:space="0"/>
              <w:bottom w:val="single" w:color="auto" w:sz="12" w:space="0"/>
            </w:tcBorders>
            <w:vAlign w:val="center"/>
          </w:tcPr>
          <w:p>
            <w:pPr>
              <w:adjustRightInd w:val="0"/>
              <w:snapToGrid w:val="0"/>
              <w:spacing w:line="320" w:lineRule="exact"/>
              <w:jc w:val="center"/>
              <w:rPr>
                <w:rFonts w:ascii="宋体" w:hAnsi="宋体"/>
              </w:rPr>
            </w:pPr>
          </w:p>
        </w:tc>
        <w:tc>
          <w:tcPr>
            <w:tcW w:w="550" w:type="dxa"/>
            <w:tcBorders>
              <w:bottom w:val="single" w:color="auto" w:sz="12" w:space="0"/>
            </w:tcBorders>
            <w:vAlign w:val="center"/>
          </w:tcPr>
          <w:p>
            <w:pPr>
              <w:adjustRightInd w:val="0"/>
              <w:snapToGrid w:val="0"/>
              <w:spacing w:line="280" w:lineRule="exact"/>
              <w:ind w:firstLine="210" w:firstLineChars="100"/>
              <w:rPr>
                <w:rFonts w:hint="eastAsia" w:ascii="宋体" w:hAnsi="宋体"/>
              </w:rPr>
            </w:pPr>
            <w:r>
              <w:rPr>
                <w:rFonts w:hint="eastAsia" w:ascii="宋体" w:hAnsi="宋体"/>
              </w:rPr>
              <w:t>3</w:t>
            </w:r>
          </w:p>
        </w:tc>
        <w:tc>
          <w:tcPr>
            <w:tcW w:w="1092" w:type="dxa"/>
            <w:tcBorders>
              <w:bottom w:val="single" w:color="auto" w:sz="12" w:space="0"/>
            </w:tcBorders>
            <w:vAlign w:val="center"/>
          </w:tcPr>
          <w:p>
            <w:pPr>
              <w:adjustRightInd w:val="0"/>
              <w:snapToGrid w:val="0"/>
              <w:spacing w:line="280" w:lineRule="exact"/>
              <w:ind w:firstLine="210" w:firstLineChars="100"/>
              <w:rPr>
                <w:rFonts w:hint="eastAsia" w:ascii="宋体" w:hAnsi="宋体"/>
              </w:rPr>
            </w:pPr>
            <w:r>
              <w:rPr>
                <w:rFonts w:hint="eastAsia" w:ascii="宋体" w:hAnsi="宋体"/>
              </w:rPr>
              <w:t>夏禹周</w:t>
            </w:r>
          </w:p>
        </w:tc>
        <w:tc>
          <w:tcPr>
            <w:tcW w:w="1596" w:type="dxa"/>
            <w:tcBorders>
              <w:bottom w:val="single" w:color="auto" w:sz="12" w:space="0"/>
            </w:tcBorders>
            <w:vAlign w:val="center"/>
          </w:tcPr>
          <w:p>
            <w:pPr>
              <w:adjustRightInd w:val="0"/>
              <w:snapToGrid w:val="0"/>
              <w:spacing w:line="280" w:lineRule="exact"/>
              <w:ind w:firstLine="420" w:firstLineChars="200"/>
              <w:rPr>
                <w:rFonts w:hint="eastAsia" w:ascii="宋体" w:hAnsi="宋体"/>
              </w:rPr>
            </w:pPr>
            <w:r>
              <w:rPr>
                <w:rFonts w:hint="eastAsia" w:ascii="宋体" w:hAnsi="宋体"/>
              </w:rPr>
              <w:t>0005035</w:t>
            </w:r>
          </w:p>
        </w:tc>
        <w:tc>
          <w:tcPr>
            <w:tcW w:w="1650" w:type="dxa"/>
            <w:tcBorders>
              <w:bottom w:val="single" w:color="auto" w:sz="12" w:space="0"/>
            </w:tcBorders>
            <w:vAlign w:val="center"/>
          </w:tcPr>
          <w:p>
            <w:pPr>
              <w:adjustRightInd w:val="0"/>
              <w:snapToGrid w:val="0"/>
              <w:spacing w:line="280" w:lineRule="exact"/>
              <w:ind w:firstLine="210" w:firstLineChars="100"/>
              <w:rPr>
                <w:rFonts w:hint="eastAsia" w:ascii="宋体" w:hAnsi="宋体"/>
              </w:rPr>
            </w:pPr>
            <w:r>
              <w:rPr>
                <w:rFonts w:hint="eastAsia" w:ascii="宋体" w:hAnsi="宋体"/>
                <w:lang w:val="en-US" w:eastAsia="zh-CN"/>
              </w:rPr>
              <w:t>B360604802</w:t>
            </w:r>
          </w:p>
        </w:tc>
        <w:tc>
          <w:tcPr>
            <w:tcW w:w="1814" w:type="dxa"/>
            <w:tcBorders>
              <w:bottom w:val="single" w:color="auto" w:sz="12" w:space="0"/>
            </w:tcBorders>
            <w:vAlign w:val="center"/>
          </w:tcPr>
          <w:p>
            <w:pPr>
              <w:adjustRightInd w:val="0"/>
              <w:snapToGrid w:val="0"/>
              <w:spacing w:line="280" w:lineRule="exact"/>
              <w:rPr>
                <w:rFonts w:ascii="宋体" w:hAnsi="宋体"/>
              </w:rPr>
            </w:pPr>
          </w:p>
          <w:p>
            <w:pPr>
              <w:adjustRightInd w:val="0"/>
              <w:snapToGrid w:val="0"/>
              <w:spacing w:line="280" w:lineRule="exact"/>
              <w:ind w:firstLine="210" w:firstLineChars="100"/>
              <w:rPr>
                <w:rFonts w:hint="eastAsia" w:ascii="宋体" w:hAnsi="宋体"/>
              </w:rPr>
            </w:pPr>
          </w:p>
          <w:p>
            <w:pPr>
              <w:adjustRightInd w:val="0"/>
              <w:snapToGrid w:val="0"/>
              <w:spacing w:line="280" w:lineRule="exact"/>
              <w:ind w:firstLine="210" w:firstLineChars="100"/>
              <w:rPr>
                <w:rFonts w:ascii="宋体" w:hAnsi="宋体"/>
              </w:rPr>
            </w:pPr>
            <w:r>
              <w:rPr>
                <w:rFonts w:hint="eastAsia" w:ascii="宋体" w:hAnsi="宋体"/>
              </w:rPr>
              <w:t>审核、审定</w:t>
            </w:r>
          </w:p>
          <w:p>
            <w:pPr>
              <w:adjustRightInd w:val="0"/>
              <w:snapToGrid w:val="0"/>
              <w:spacing w:line="280" w:lineRule="exact"/>
              <w:rPr>
                <w:rFonts w:ascii="宋体" w:hAnsi="宋体"/>
              </w:rPr>
            </w:pPr>
          </w:p>
          <w:p>
            <w:pPr>
              <w:adjustRightInd w:val="0"/>
              <w:snapToGrid w:val="0"/>
              <w:spacing w:line="360" w:lineRule="auto"/>
              <w:jc w:val="center"/>
              <w:rPr>
                <w:rFonts w:hint="eastAsia" w:ascii="宋体" w:hAnsi="宋体"/>
              </w:rPr>
            </w:pPr>
          </w:p>
        </w:tc>
        <w:tc>
          <w:tcPr>
            <w:tcW w:w="1706" w:type="dxa"/>
            <w:tcBorders>
              <w:bottom w:val="single" w:color="auto" w:sz="12" w:space="0"/>
              <w:right w:val="single" w:color="auto" w:sz="12" w:space="0"/>
            </w:tcBorders>
            <w:vAlign w:val="center"/>
          </w:tcPr>
          <w:p>
            <w:pPr>
              <w:adjustRightInd w:val="0"/>
              <w:snapToGrid w:val="0"/>
              <w:spacing w:line="360" w:lineRule="auto"/>
              <w:jc w:val="center"/>
              <w:rPr>
                <w:rFonts w:ascii="宋体" w:hAnsi="宋体"/>
              </w:rPr>
            </w:pPr>
          </w:p>
        </w:tc>
      </w:tr>
    </w:tbl>
    <w:p>
      <w:pPr>
        <w:spacing w:line="360" w:lineRule="auto"/>
        <w:jc w:val="center"/>
        <w:outlineLvl w:val="0"/>
        <w:rPr>
          <w:rFonts w:eastAsia="黑体"/>
          <w:b/>
          <w:spacing w:val="32"/>
          <w:sz w:val="32"/>
          <w:szCs w:val="32"/>
        </w:rPr>
      </w:pPr>
    </w:p>
    <w:p>
      <w:pPr>
        <w:outlineLvl w:val="0"/>
        <w:rPr>
          <w:b/>
          <w:bCs/>
          <w:color w:val="auto"/>
          <w:sz w:val="30"/>
          <w:szCs w:val="30"/>
        </w:rPr>
      </w:pPr>
    </w:p>
    <w:p>
      <w:pPr>
        <w:outlineLvl w:val="0"/>
        <w:rPr>
          <w:b/>
          <w:bCs/>
          <w:color w:val="auto"/>
          <w:sz w:val="30"/>
          <w:szCs w:val="30"/>
        </w:rPr>
      </w:pPr>
      <w:r>
        <w:rPr>
          <w:b/>
          <w:bCs/>
          <w:color w:val="auto"/>
          <w:sz w:val="30"/>
          <w:szCs w:val="30"/>
        </w:rPr>
        <w:t>建设项目基本情况</w:t>
      </w:r>
    </w:p>
    <w:tbl>
      <w:tblPr>
        <w:tblStyle w:val="26"/>
        <w:tblW w:w="928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492"/>
        <w:gridCol w:w="1018"/>
        <w:gridCol w:w="985"/>
        <w:gridCol w:w="1223"/>
        <w:gridCol w:w="396"/>
        <w:gridCol w:w="891"/>
        <w:gridCol w:w="1142"/>
        <w:gridCol w:w="14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682" w:type="dxa"/>
            <w:tcBorders>
              <w:top w:val="single" w:color="auto" w:sz="12" w:space="0"/>
              <w:left w:val="single" w:color="auto" w:sz="12" w:space="0"/>
              <w:bottom w:val="single" w:color="auto" w:sz="4" w:space="0"/>
              <w:right w:val="single" w:color="auto" w:sz="4" w:space="0"/>
            </w:tcBorders>
            <w:vAlign w:val="center"/>
          </w:tcPr>
          <w:p>
            <w:pPr>
              <w:jc w:val="center"/>
              <w:rPr>
                <w:color w:val="auto"/>
                <w:sz w:val="24"/>
                <w:szCs w:val="24"/>
              </w:rPr>
            </w:pPr>
            <w:r>
              <w:rPr>
                <w:color w:val="auto"/>
                <w:sz w:val="24"/>
                <w:szCs w:val="24"/>
              </w:rPr>
              <w:t>项目名称</w:t>
            </w:r>
          </w:p>
        </w:tc>
        <w:tc>
          <w:tcPr>
            <w:tcW w:w="7605" w:type="dxa"/>
            <w:gridSpan w:val="8"/>
            <w:tcBorders>
              <w:top w:val="single" w:color="auto" w:sz="12"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陕西华富新能源有限公司五台燃气锅炉脱硫、除尘环保改造项目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682" w:type="dxa"/>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r>
              <w:rPr>
                <w:color w:val="auto"/>
                <w:sz w:val="24"/>
                <w:szCs w:val="24"/>
              </w:rPr>
              <w:t>建设单位</w:t>
            </w:r>
          </w:p>
        </w:tc>
        <w:tc>
          <w:tcPr>
            <w:tcW w:w="7605" w:type="dxa"/>
            <w:gridSpan w:val="8"/>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陕西华富新能源有限公司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682" w:type="dxa"/>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r>
              <w:rPr>
                <w:color w:val="auto"/>
                <w:sz w:val="24"/>
                <w:szCs w:val="24"/>
              </w:rPr>
              <w:t>法人代表</w:t>
            </w:r>
          </w:p>
        </w:tc>
        <w:tc>
          <w:tcPr>
            <w:tcW w:w="3718" w:type="dxa"/>
            <w:gridSpan w:val="4"/>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仵博</w:t>
            </w:r>
          </w:p>
        </w:tc>
        <w:tc>
          <w:tcPr>
            <w:tcW w:w="2429" w:type="dxa"/>
            <w:gridSpan w:val="3"/>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color w:val="auto"/>
                <w:sz w:val="24"/>
                <w:szCs w:val="24"/>
              </w:rPr>
              <w:t>联系人</w:t>
            </w:r>
          </w:p>
        </w:tc>
        <w:tc>
          <w:tcPr>
            <w:tcW w:w="1458"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梁新民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682" w:type="dxa"/>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r>
              <w:rPr>
                <w:color w:val="auto"/>
                <w:sz w:val="24"/>
                <w:szCs w:val="24"/>
              </w:rPr>
              <w:t>通讯地址</w:t>
            </w:r>
          </w:p>
        </w:tc>
        <w:tc>
          <w:tcPr>
            <w:tcW w:w="7605" w:type="dxa"/>
            <w:gridSpan w:val="8"/>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陕西省韩城市龙门镇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682" w:type="dxa"/>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r>
              <w:rPr>
                <w:color w:val="auto"/>
                <w:sz w:val="24"/>
                <w:szCs w:val="24"/>
              </w:rPr>
              <w:t>联系电话</w:t>
            </w:r>
          </w:p>
        </w:tc>
        <w:tc>
          <w:tcPr>
            <w:tcW w:w="2495" w:type="dxa"/>
            <w:gridSpan w:val="3"/>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0913-5180450</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color w:val="auto"/>
                <w:sz w:val="24"/>
                <w:szCs w:val="24"/>
              </w:rPr>
              <w:t>传真</w:t>
            </w:r>
          </w:p>
        </w:tc>
        <w:tc>
          <w:tcPr>
            <w:tcW w:w="1287"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color w:val="auto"/>
                <w:sz w:val="24"/>
                <w:szCs w:val="24"/>
              </w:rPr>
              <w:t>邮政编码</w:t>
            </w:r>
          </w:p>
        </w:tc>
        <w:tc>
          <w:tcPr>
            <w:tcW w:w="1458"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715405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682" w:type="dxa"/>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r>
              <w:rPr>
                <w:color w:val="auto"/>
                <w:sz w:val="24"/>
                <w:szCs w:val="24"/>
              </w:rPr>
              <w:t>建设地点</w:t>
            </w:r>
          </w:p>
        </w:tc>
        <w:tc>
          <w:tcPr>
            <w:tcW w:w="7605" w:type="dxa"/>
            <w:gridSpan w:val="8"/>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陕西省韩城市龙门镇陕西华富新能源有限公司现有厂区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2174" w:type="dxa"/>
            <w:gridSpan w:val="2"/>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r>
              <w:rPr>
                <w:color w:val="auto"/>
                <w:sz w:val="24"/>
                <w:szCs w:val="24"/>
              </w:rPr>
              <w:t>立项审批部门</w:t>
            </w:r>
          </w:p>
        </w:tc>
        <w:tc>
          <w:tcPr>
            <w:tcW w:w="3226" w:type="dxa"/>
            <w:gridSpan w:val="3"/>
            <w:tcBorders>
              <w:top w:val="single" w:color="auto" w:sz="4" w:space="0"/>
              <w:left w:val="single" w:color="auto" w:sz="4" w:space="0"/>
              <w:bottom w:val="single" w:color="auto" w:sz="4" w:space="0"/>
              <w:right w:val="single" w:color="auto" w:sz="4" w:space="0"/>
            </w:tcBorders>
            <w:vAlign w:val="center"/>
          </w:tcPr>
          <w:p>
            <w:pPr>
              <w:jc w:val="center"/>
              <w:rPr>
                <w:color w:val="auto"/>
                <w:spacing w:val="-10"/>
                <w:sz w:val="24"/>
                <w:szCs w:val="24"/>
              </w:rPr>
            </w:pPr>
            <w:r>
              <w:rPr>
                <w:rFonts w:hint="eastAsia"/>
                <w:color w:val="auto"/>
                <w:spacing w:val="-10"/>
                <w:sz w:val="24"/>
                <w:szCs w:val="24"/>
              </w:rPr>
              <w:t>韩城市发展和改革委员会</w:t>
            </w:r>
          </w:p>
        </w:tc>
        <w:tc>
          <w:tcPr>
            <w:tcW w:w="1287"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color w:val="auto"/>
                <w:sz w:val="24"/>
                <w:szCs w:val="24"/>
              </w:rPr>
              <w:t>批准文号</w:t>
            </w:r>
          </w:p>
        </w:tc>
        <w:tc>
          <w:tcPr>
            <w:tcW w:w="2600" w:type="dxa"/>
            <w:gridSpan w:val="2"/>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韩</w:t>
            </w:r>
            <w:r>
              <w:rPr>
                <w:color w:val="auto"/>
                <w:sz w:val="24"/>
                <w:szCs w:val="24"/>
              </w:rPr>
              <w:t>发改</w:t>
            </w:r>
            <w:r>
              <w:rPr>
                <w:rFonts w:hint="eastAsia"/>
                <w:color w:val="auto"/>
                <w:sz w:val="24"/>
                <w:szCs w:val="24"/>
              </w:rPr>
              <w:t>发</w:t>
            </w:r>
            <w:r>
              <w:rPr>
                <w:color w:val="auto"/>
                <w:sz w:val="24"/>
                <w:szCs w:val="24"/>
              </w:rPr>
              <w:t>[201</w:t>
            </w:r>
            <w:r>
              <w:rPr>
                <w:rFonts w:hint="eastAsia"/>
                <w:color w:val="auto"/>
                <w:sz w:val="24"/>
                <w:szCs w:val="24"/>
              </w:rPr>
              <w:t>7</w:t>
            </w:r>
            <w:r>
              <w:rPr>
                <w:color w:val="auto"/>
                <w:sz w:val="24"/>
                <w:szCs w:val="24"/>
              </w:rPr>
              <w:t>]2</w:t>
            </w:r>
            <w:r>
              <w:rPr>
                <w:rFonts w:hint="eastAsia"/>
                <w:color w:val="auto"/>
                <w:sz w:val="24"/>
                <w:szCs w:val="24"/>
              </w:rPr>
              <w:t>15</w:t>
            </w:r>
            <w:r>
              <w:rPr>
                <w:color w:val="auto"/>
                <w:sz w:val="24"/>
                <w:szCs w:val="24"/>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682" w:type="dxa"/>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r>
              <w:rPr>
                <w:color w:val="auto"/>
                <w:sz w:val="24"/>
                <w:szCs w:val="24"/>
              </w:rPr>
              <w:t>建设性质</w:t>
            </w:r>
          </w:p>
        </w:tc>
        <w:tc>
          <w:tcPr>
            <w:tcW w:w="3718" w:type="dxa"/>
            <w:gridSpan w:val="4"/>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color w:val="auto"/>
                <w:sz w:val="24"/>
                <w:szCs w:val="24"/>
              </w:rPr>
              <w:t>新建□改扩建□技改■</w:t>
            </w:r>
          </w:p>
        </w:tc>
        <w:tc>
          <w:tcPr>
            <w:tcW w:w="1287"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color w:val="auto"/>
                <w:sz w:val="24"/>
                <w:szCs w:val="24"/>
              </w:rPr>
              <w:t>行业类别</w:t>
            </w:r>
          </w:p>
          <w:p>
            <w:pPr>
              <w:jc w:val="center"/>
              <w:rPr>
                <w:color w:val="auto"/>
                <w:sz w:val="24"/>
                <w:szCs w:val="24"/>
              </w:rPr>
            </w:pPr>
            <w:r>
              <w:rPr>
                <w:color w:val="auto"/>
                <w:sz w:val="24"/>
                <w:szCs w:val="24"/>
              </w:rPr>
              <w:t>及代码</w:t>
            </w:r>
          </w:p>
        </w:tc>
        <w:tc>
          <w:tcPr>
            <w:tcW w:w="2600" w:type="dxa"/>
            <w:gridSpan w:val="2"/>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N77-772</w:t>
            </w:r>
          </w:p>
          <w:p>
            <w:pPr>
              <w:jc w:val="center"/>
              <w:rPr>
                <w:color w:val="auto"/>
                <w:sz w:val="24"/>
                <w:szCs w:val="24"/>
              </w:rPr>
            </w:pPr>
            <w:r>
              <w:rPr>
                <w:rFonts w:hint="eastAsia"/>
                <w:color w:val="auto"/>
                <w:sz w:val="24"/>
                <w:szCs w:val="24"/>
              </w:rPr>
              <w:t>环境治理业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682" w:type="dxa"/>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r>
              <w:rPr>
                <w:color w:val="auto"/>
                <w:sz w:val="24"/>
                <w:szCs w:val="24"/>
              </w:rPr>
              <w:t>占地面积</w:t>
            </w:r>
          </w:p>
          <w:p>
            <w:pPr>
              <w:jc w:val="center"/>
              <w:rPr>
                <w:color w:val="auto"/>
                <w:sz w:val="24"/>
                <w:szCs w:val="24"/>
              </w:rPr>
            </w:pPr>
            <w:r>
              <w:rPr>
                <w:color w:val="auto"/>
                <w:sz w:val="24"/>
                <w:szCs w:val="24"/>
              </w:rPr>
              <w:t>（平方m）</w:t>
            </w:r>
          </w:p>
        </w:tc>
        <w:tc>
          <w:tcPr>
            <w:tcW w:w="3718" w:type="dxa"/>
            <w:gridSpan w:val="4"/>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8</w:t>
            </w:r>
            <w:r>
              <w:rPr>
                <w:color w:val="auto"/>
                <w:sz w:val="24"/>
                <w:szCs w:val="24"/>
              </w:rPr>
              <w:t>00</w:t>
            </w:r>
          </w:p>
        </w:tc>
        <w:tc>
          <w:tcPr>
            <w:tcW w:w="1287"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color w:val="auto"/>
                <w:sz w:val="24"/>
                <w:szCs w:val="24"/>
              </w:rPr>
              <w:t>绿化面积</w:t>
            </w:r>
          </w:p>
          <w:p>
            <w:pPr>
              <w:jc w:val="center"/>
              <w:rPr>
                <w:color w:val="auto"/>
                <w:sz w:val="24"/>
                <w:szCs w:val="24"/>
              </w:rPr>
            </w:pPr>
            <w:r>
              <w:rPr>
                <w:color w:val="auto"/>
                <w:sz w:val="24"/>
                <w:szCs w:val="24"/>
              </w:rPr>
              <w:t>（平方m）</w:t>
            </w:r>
          </w:p>
        </w:tc>
        <w:tc>
          <w:tcPr>
            <w:tcW w:w="2600" w:type="dxa"/>
            <w:gridSpan w:val="2"/>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682" w:type="dxa"/>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r>
              <w:rPr>
                <w:color w:val="auto"/>
                <w:sz w:val="24"/>
                <w:szCs w:val="24"/>
              </w:rPr>
              <w:t>总投资</w:t>
            </w:r>
          </w:p>
          <w:p>
            <w:pPr>
              <w:jc w:val="center"/>
              <w:rPr>
                <w:color w:val="auto"/>
                <w:sz w:val="24"/>
                <w:szCs w:val="24"/>
              </w:rPr>
            </w:pPr>
            <w:r>
              <w:rPr>
                <w:color w:val="auto"/>
                <w:sz w:val="24"/>
                <w:szCs w:val="24"/>
              </w:rPr>
              <w:t>（万元）</w:t>
            </w:r>
          </w:p>
        </w:tc>
        <w:tc>
          <w:tcPr>
            <w:tcW w:w="1510"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3000</w:t>
            </w:r>
          </w:p>
        </w:tc>
        <w:tc>
          <w:tcPr>
            <w:tcW w:w="2208"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color w:val="auto"/>
                <w:sz w:val="24"/>
                <w:szCs w:val="24"/>
              </w:rPr>
              <w:t>其中：环保投资（万元）</w:t>
            </w:r>
          </w:p>
        </w:tc>
        <w:tc>
          <w:tcPr>
            <w:tcW w:w="1287"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3000</w:t>
            </w: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color w:val="auto"/>
                <w:sz w:val="24"/>
                <w:szCs w:val="24"/>
              </w:rPr>
              <w:t>环保投资占总投资比例</w:t>
            </w:r>
          </w:p>
        </w:tc>
        <w:tc>
          <w:tcPr>
            <w:tcW w:w="1458"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color w:val="auto"/>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682" w:type="dxa"/>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r>
              <w:rPr>
                <w:color w:val="auto"/>
                <w:sz w:val="24"/>
                <w:szCs w:val="24"/>
              </w:rPr>
              <w:t>评价经费</w:t>
            </w:r>
          </w:p>
          <w:p>
            <w:pPr>
              <w:jc w:val="center"/>
              <w:rPr>
                <w:color w:val="auto"/>
                <w:sz w:val="24"/>
                <w:szCs w:val="24"/>
              </w:rPr>
            </w:pPr>
            <w:r>
              <w:rPr>
                <w:color w:val="auto"/>
                <w:sz w:val="24"/>
                <w:szCs w:val="24"/>
              </w:rPr>
              <w:t>（万元）</w:t>
            </w:r>
          </w:p>
        </w:tc>
        <w:tc>
          <w:tcPr>
            <w:tcW w:w="1510"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p>
        </w:tc>
        <w:tc>
          <w:tcPr>
            <w:tcW w:w="2604" w:type="dxa"/>
            <w:gridSpan w:val="3"/>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color w:val="auto"/>
                <w:sz w:val="24"/>
                <w:szCs w:val="24"/>
              </w:rPr>
              <w:t>预期投产日期</w:t>
            </w:r>
          </w:p>
        </w:tc>
        <w:tc>
          <w:tcPr>
            <w:tcW w:w="3491" w:type="dxa"/>
            <w:gridSpan w:val="3"/>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2</w:t>
            </w:r>
            <w:r>
              <w:rPr>
                <w:color w:val="auto"/>
                <w:sz w:val="24"/>
                <w:szCs w:val="24"/>
              </w:rPr>
              <w:t>018</w:t>
            </w:r>
            <w:r>
              <w:rPr>
                <w:rFonts w:hint="eastAsia"/>
                <w:color w:val="auto"/>
                <w:sz w:val="24"/>
                <w:szCs w:val="24"/>
              </w:rPr>
              <w:t>年7月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7" w:type="dxa"/>
            <w:gridSpan w:val="9"/>
            <w:tcBorders>
              <w:top w:val="single" w:color="auto" w:sz="4" w:space="0"/>
              <w:left w:val="single" w:color="auto" w:sz="12" w:space="0"/>
              <w:bottom w:val="single" w:color="auto" w:sz="4" w:space="0"/>
              <w:right w:val="single" w:color="auto" w:sz="12" w:space="0"/>
            </w:tcBorders>
            <w:vAlign w:val="center"/>
          </w:tcPr>
          <w:p>
            <w:pPr>
              <w:spacing w:before="156" w:beforeLines="50" w:after="156" w:afterLines="50"/>
              <w:rPr>
                <w:color w:val="auto"/>
                <w:sz w:val="28"/>
                <w:szCs w:val="28"/>
              </w:rPr>
            </w:pPr>
            <w:r>
              <w:rPr>
                <w:color w:val="auto"/>
                <w:sz w:val="28"/>
                <w:szCs w:val="28"/>
              </w:rPr>
              <w:t>工程内容及规模：</w:t>
            </w:r>
          </w:p>
          <w:p>
            <w:pPr>
              <w:spacing w:line="360" w:lineRule="auto"/>
              <w:ind w:firstLine="482" w:firstLineChars="200"/>
              <w:rPr>
                <w:b/>
                <w:bCs/>
                <w:color w:val="auto"/>
                <w:sz w:val="24"/>
                <w:szCs w:val="24"/>
              </w:rPr>
            </w:pPr>
            <w:r>
              <w:rPr>
                <w:b/>
                <w:bCs/>
                <w:color w:val="auto"/>
                <w:sz w:val="24"/>
                <w:szCs w:val="24"/>
              </w:rPr>
              <w:t>一</w:t>
            </w:r>
            <w:r>
              <w:rPr>
                <w:color w:val="auto"/>
                <w:sz w:val="24"/>
                <w:szCs w:val="24"/>
              </w:rPr>
              <w:t>、</w:t>
            </w:r>
            <w:r>
              <w:rPr>
                <w:b/>
                <w:bCs/>
                <w:color w:val="auto"/>
                <w:sz w:val="24"/>
                <w:szCs w:val="24"/>
              </w:rPr>
              <w:t>项目由来</w:t>
            </w:r>
          </w:p>
          <w:p>
            <w:pPr>
              <w:spacing w:line="360" w:lineRule="auto"/>
              <w:ind w:firstLine="480"/>
              <w:rPr>
                <w:color w:val="auto"/>
                <w:sz w:val="24"/>
                <w:szCs w:val="24"/>
              </w:rPr>
            </w:pPr>
            <w:r>
              <w:rPr>
                <w:rFonts w:hint="eastAsia"/>
                <w:color w:val="auto"/>
                <w:sz w:val="24"/>
                <w:szCs w:val="24"/>
              </w:rPr>
              <w:t>陕西华富新能源有限公司位于陕西省韩城市龙门镇，隶属于陕西龙门钢铁有限责任公司，主要利用陕西龙门钢铁有限责任公司富余的高炉煤气进行发电,并将所发电回用于龙钢公司。目前分三期已建成燃气锅炉5台、发电汽轮机组6组，发电装机容量1</w:t>
            </w:r>
            <w:r>
              <w:rPr>
                <w:color w:val="auto"/>
                <w:sz w:val="24"/>
                <w:szCs w:val="24"/>
              </w:rPr>
              <w:t>34MW</w:t>
            </w:r>
            <w:r>
              <w:rPr>
                <w:rFonts w:hint="eastAsia"/>
                <w:color w:val="auto"/>
                <w:sz w:val="24"/>
                <w:szCs w:val="24"/>
              </w:rPr>
              <w:t>。</w:t>
            </w:r>
          </w:p>
          <w:p>
            <w:pPr>
              <w:spacing w:line="360" w:lineRule="auto"/>
              <w:ind w:firstLine="480"/>
              <w:rPr>
                <w:color w:val="auto"/>
                <w:sz w:val="24"/>
                <w:szCs w:val="24"/>
              </w:rPr>
            </w:pPr>
            <w:r>
              <w:rPr>
                <w:rFonts w:hint="eastAsia"/>
                <w:color w:val="auto"/>
                <w:sz w:val="24"/>
                <w:szCs w:val="24"/>
              </w:rPr>
              <w:t>其中一期（1#炉）：1×</w:t>
            </w:r>
            <w:r>
              <w:rPr>
                <w:color w:val="auto"/>
                <w:sz w:val="24"/>
                <w:szCs w:val="24"/>
              </w:rPr>
              <w:t>25MW</w:t>
            </w:r>
            <w:r>
              <w:rPr>
                <w:rFonts w:hint="eastAsia"/>
                <w:color w:val="auto"/>
                <w:sz w:val="24"/>
                <w:szCs w:val="24"/>
              </w:rPr>
              <w:t>抽凝式汽轮发电机组+</w:t>
            </w:r>
            <w:r>
              <w:rPr>
                <w:color w:val="auto"/>
                <w:sz w:val="24"/>
                <w:szCs w:val="24"/>
              </w:rPr>
              <w:t>1</w:t>
            </w:r>
            <w:r>
              <w:rPr>
                <w:rFonts w:hint="eastAsia"/>
                <w:color w:val="auto"/>
                <w:sz w:val="24"/>
                <w:szCs w:val="24"/>
              </w:rPr>
              <w:t>×</w:t>
            </w:r>
            <w:r>
              <w:rPr>
                <w:color w:val="auto"/>
                <w:sz w:val="24"/>
                <w:szCs w:val="24"/>
              </w:rPr>
              <w:t>130</w:t>
            </w:r>
            <w:r>
              <w:rPr>
                <w:rFonts w:hint="eastAsia"/>
                <w:color w:val="auto"/>
                <w:sz w:val="24"/>
                <w:szCs w:val="24"/>
              </w:rPr>
              <w:t>t</w:t>
            </w:r>
            <w:r>
              <w:rPr>
                <w:color w:val="auto"/>
                <w:sz w:val="24"/>
                <w:szCs w:val="24"/>
              </w:rPr>
              <w:t>/</w:t>
            </w:r>
            <w:r>
              <w:rPr>
                <w:rFonts w:hint="eastAsia"/>
                <w:color w:val="auto"/>
                <w:sz w:val="24"/>
                <w:szCs w:val="24"/>
              </w:rPr>
              <w:t>h燃气锅炉，全部以高炉煤气为燃料，环境影响评价于2</w:t>
            </w:r>
            <w:r>
              <w:rPr>
                <w:color w:val="auto"/>
                <w:sz w:val="24"/>
                <w:szCs w:val="24"/>
              </w:rPr>
              <w:t>005</w:t>
            </w:r>
            <w:r>
              <w:rPr>
                <w:rFonts w:hint="eastAsia"/>
                <w:color w:val="auto"/>
                <w:sz w:val="24"/>
                <w:szCs w:val="24"/>
              </w:rPr>
              <w:t>年5月获取（原）陕西省环境保护局审查意见（陕环函[</w:t>
            </w:r>
            <w:r>
              <w:rPr>
                <w:color w:val="auto"/>
                <w:sz w:val="24"/>
                <w:szCs w:val="24"/>
              </w:rPr>
              <w:t>2005]106</w:t>
            </w:r>
            <w:r>
              <w:rPr>
                <w:rFonts w:hint="eastAsia"/>
                <w:color w:val="auto"/>
                <w:sz w:val="24"/>
                <w:szCs w:val="24"/>
              </w:rPr>
              <w:t>号），2</w:t>
            </w:r>
            <w:r>
              <w:rPr>
                <w:color w:val="auto"/>
                <w:sz w:val="24"/>
                <w:szCs w:val="24"/>
              </w:rPr>
              <w:t>015</w:t>
            </w:r>
            <w:r>
              <w:rPr>
                <w:rFonts w:hint="eastAsia"/>
                <w:color w:val="auto"/>
                <w:sz w:val="24"/>
                <w:szCs w:val="24"/>
              </w:rPr>
              <w:t>年1</w:t>
            </w:r>
            <w:r>
              <w:rPr>
                <w:color w:val="auto"/>
                <w:sz w:val="24"/>
                <w:szCs w:val="24"/>
              </w:rPr>
              <w:t>1</w:t>
            </w:r>
            <w:r>
              <w:rPr>
                <w:rFonts w:hint="eastAsia"/>
                <w:color w:val="auto"/>
                <w:sz w:val="24"/>
                <w:szCs w:val="24"/>
              </w:rPr>
              <w:t>月通过竣工环保验收并取得验收批复（陕环批复[</w:t>
            </w:r>
            <w:r>
              <w:rPr>
                <w:color w:val="auto"/>
                <w:sz w:val="24"/>
                <w:szCs w:val="24"/>
              </w:rPr>
              <w:t>2015]758</w:t>
            </w:r>
            <w:r>
              <w:rPr>
                <w:rFonts w:hint="eastAsia"/>
                <w:color w:val="auto"/>
                <w:sz w:val="24"/>
                <w:szCs w:val="24"/>
              </w:rPr>
              <w:t>号）。</w:t>
            </w:r>
          </w:p>
          <w:p>
            <w:pPr>
              <w:spacing w:line="360" w:lineRule="auto"/>
              <w:ind w:firstLine="480"/>
              <w:rPr>
                <w:color w:val="auto"/>
                <w:sz w:val="24"/>
                <w:szCs w:val="24"/>
              </w:rPr>
            </w:pPr>
            <w:r>
              <w:rPr>
                <w:rFonts w:hint="eastAsia"/>
                <w:color w:val="auto"/>
                <w:sz w:val="24"/>
                <w:szCs w:val="24"/>
              </w:rPr>
              <w:t>二期（2#炉）：1×</w:t>
            </w:r>
            <w:r>
              <w:rPr>
                <w:color w:val="auto"/>
                <w:sz w:val="24"/>
                <w:szCs w:val="24"/>
              </w:rPr>
              <w:t>25MW</w:t>
            </w:r>
            <w:r>
              <w:rPr>
                <w:rFonts w:hint="eastAsia"/>
                <w:color w:val="auto"/>
                <w:sz w:val="24"/>
                <w:szCs w:val="24"/>
              </w:rPr>
              <w:t>抽凝式汽轮发电机组+</w:t>
            </w:r>
            <w:r>
              <w:rPr>
                <w:color w:val="auto"/>
                <w:sz w:val="24"/>
                <w:szCs w:val="24"/>
              </w:rPr>
              <w:t>1</w:t>
            </w:r>
            <w:r>
              <w:rPr>
                <w:rFonts w:hint="eastAsia"/>
                <w:color w:val="auto"/>
                <w:sz w:val="24"/>
                <w:szCs w:val="24"/>
              </w:rPr>
              <w:t>×</w:t>
            </w:r>
            <w:r>
              <w:rPr>
                <w:color w:val="auto"/>
                <w:sz w:val="24"/>
                <w:szCs w:val="24"/>
              </w:rPr>
              <w:t>130</w:t>
            </w:r>
            <w:r>
              <w:rPr>
                <w:rFonts w:hint="eastAsia"/>
                <w:color w:val="auto"/>
                <w:sz w:val="24"/>
                <w:szCs w:val="24"/>
              </w:rPr>
              <w:t>t</w:t>
            </w:r>
            <w:r>
              <w:rPr>
                <w:color w:val="auto"/>
                <w:sz w:val="24"/>
                <w:szCs w:val="24"/>
              </w:rPr>
              <w:t>/</w:t>
            </w:r>
            <w:r>
              <w:rPr>
                <w:rFonts w:hint="eastAsia"/>
                <w:color w:val="auto"/>
                <w:sz w:val="24"/>
                <w:szCs w:val="24"/>
              </w:rPr>
              <w:t>h燃气锅炉，2</w:t>
            </w:r>
            <w:r>
              <w:rPr>
                <w:color w:val="auto"/>
                <w:sz w:val="24"/>
                <w:szCs w:val="24"/>
              </w:rPr>
              <w:t>006</w:t>
            </w:r>
            <w:r>
              <w:rPr>
                <w:rFonts w:hint="eastAsia"/>
                <w:color w:val="auto"/>
                <w:sz w:val="24"/>
                <w:szCs w:val="24"/>
              </w:rPr>
              <w:t>年4月取得环境影响报告表批复（陕环批复[</w:t>
            </w:r>
            <w:r>
              <w:rPr>
                <w:color w:val="auto"/>
                <w:sz w:val="24"/>
                <w:szCs w:val="24"/>
              </w:rPr>
              <w:t>2006]85</w:t>
            </w:r>
            <w:r>
              <w:rPr>
                <w:rFonts w:hint="eastAsia"/>
                <w:color w:val="auto"/>
                <w:sz w:val="24"/>
                <w:szCs w:val="24"/>
              </w:rPr>
              <w:t>号），2</w:t>
            </w:r>
            <w:r>
              <w:rPr>
                <w:color w:val="auto"/>
                <w:sz w:val="24"/>
                <w:szCs w:val="24"/>
              </w:rPr>
              <w:t>015</w:t>
            </w:r>
            <w:r>
              <w:rPr>
                <w:rFonts w:hint="eastAsia"/>
                <w:color w:val="auto"/>
                <w:sz w:val="24"/>
                <w:szCs w:val="24"/>
              </w:rPr>
              <w:t>年1</w:t>
            </w:r>
            <w:r>
              <w:rPr>
                <w:color w:val="auto"/>
                <w:sz w:val="24"/>
                <w:szCs w:val="24"/>
              </w:rPr>
              <w:t>1</w:t>
            </w:r>
            <w:r>
              <w:rPr>
                <w:rFonts w:hint="eastAsia"/>
                <w:color w:val="auto"/>
                <w:sz w:val="24"/>
                <w:szCs w:val="24"/>
              </w:rPr>
              <w:t>月通过竣工环保验收并取得验收批复（陕环批复[</w:t>
            </w:r>
            <w:r>
              <w:rPr>
                <w:color w:val="auto"/>
                <w:sz w:val="24"/>
                <w:szCs w:val="24"/>
              </w:rPr>
              <w:t>2015]754</w:t>
            </w:r>
            <w:r>
              <w:rPr>
                <w:rFonts w:hint="eastAsia"/>
                <w:color w:val="auto"/>
                <w:sz w:val="24"/>
                <w:szCs w:val="24"/>
              </w:rPr>
              <w:t>号）。</w:t>
            </w:r>
          </w:p>
          <w:p>
            <w:pPr>
              <w:spacing w:line="360" w:lineRule="auto"/>
              <w:ind w:firstLine="480"/>
              <w:rPr>
                <w:color w:val="auto"/>
                <w:sz w:val="24"/>
                <w:szCs w:val="24"/>
              </w:rPr>
            </w:pPr>
          </w:p>
          <w:p>
            <w:pPr>
              <w:spacing w:line="360" w:lineRule="auto"/>
              <w:ind w:firstLine="480"/>
              <w:rPr>
                <w:color w:val="auto"/>
                <w:sz w:val="24"/>
                <w:szCs w:val="24"/>
              </w:rPr>
            </w:pPr>
          </w:p>
          <w:p>
            <w:pPr>
              <w:spacing w:line="360" w:lineRule="auto"/>
              <w:ind w:firstLine="480"/>
              <w:rPr>
                <w:color w:val="auto"/>
                <w:sz w:val="24"/>
                <w:szCs w:val="24"/>
              </w:rPr>
            </w:pPr>
            <w:r>
              <w:rPr>
                <w:rFonts w:hint="eastAsia"/>
                <w:color w:val="auto"/>
                <w:sz w:val="24"/>
                <w:szCs w:val="24"/>
              </w:rPr>
              <w:t>2</w:t>
            </w:r>
            <w:r>
              <w:rPr>
                <w:color w:val="auto"/>
                <w:sz w:val="24"/>
                <w:szCs w:val="24"/>
              </w:rPr>
              <w:t>008</w:t>
            </w:r>
            <w:r>
              <w:rPr>
                <w:rFonts w:hint="eastAsia"/>
                <w:color w:val="auto"/>
                <w:sz w:val="24"/>
                <w:szCs w:val="24"/>
              </w:rPr>
              <w:t>年5月新建1×1</w:t>
            </w:r>
            <w:r>
              <w:rPr>
                <w:color w:val="auto"/>
                <w:sz w:val="24"/>
                <w:szCs w:val="24"/>
              </w:rPr>
              <w:t>70</w:t>
            </w:r>
            <w:r>
              <w:rPr>
                <w:rFonts w:hint="eastAsia"/>
                <w:color w:val="auto"/>
                <w:sz w:val="24"/>
                <w:szCs w:val="24"/>
              </w:rPr>
              <w:t>t</w:t>
            </w:r>
            <w:r>
              <w:rPr>
                <w:color w:val="auto"/>
                <w:sz w:val="24"/>
                <w:szCs w:val="24"/>
              </w:rPr>
              <w:t>/</w:t>
            </w:r>
            <w:r>
              <w:rPr>
                <w:rFonts w:hint="eastAsia"/>
                <w:color w:val="auto"/>
                <w:sz w:val="24"/>
                <w:szCs w:val="24"/>
              </w:rPr>
              <w:t>h燃气锅炉（3#炉），为陕西龙门钢铁（集团）有限责任公司提供蒸汽，填报环境影响登记表，2</w:t>
            </w:r>
            <w:r>
              <w:rPr>
                <w:color w:val="auto"/>
                <w:sz w:val="24"/>
                <w:szCs w:val="24"/>
              </w:rPr>
              <w:t>008</w:t>
            </w:r>
            <w:r>
              <w:rPr>
                <w:rFonts w:hint="eastAsia"/>
                <w:color w:val="auto"/>
                <w:sz w:val="24"/>
                <w:szCs w:val="24"/>
              </w:rPr>
              <w:t>年6月取得环评批复，2</w:t>
            </w:r>
            <w:r>
              <w:rPr>
                <w:color w:val="auto"/>
                <w:sz w:val="24"/>
                <w:szCs w:val="24"/>
              </w:rPr>
              <w:t>016</w:t>
            </w:r>
            <w:r>
              <w:rPr>
                <w:rFonts w:hint="eastAsia"/>
                <w:color w:val="auto"/>
                <w:sz w:val="24"/>
                <w:szCs w:val="24"/>
              </w:rPr>
              <w:t>年3月通过竣工环保验收并取得验收批复（韩环发[</w:t>
            </w:r>
            <w:r>
              <w:rPr>
                <w:color w:val="auto"/>
                <w:sz w:val="24"/>
                <w:szCs w:val="24"/>
              </w:rPr>
              <w:t>2016]28</w:t>
            </w:r>
            <w:r>
              <w:rPr>
                <w:rFonts w:hint="eastAsia"/>
                <w:color w:val="auto"/>
                <w:sz w:val="24"/>
                <w:szCs w:val="24"/>
              </w:rPr>
              <w:t>号）。</w:t>
            </w:r>
          </w:p>
          <w:p>
            <w:pPr>
              <w:spacing w:line="360" w:lineRule="auto"/>
              <w:ind w:firstLine="480"/>
              <w:rPr>
                <w:color w:val="auto"/>
                <w:sz w:val="24"/>
                <w:szCs w:val="24"/>
              </w:rPr>
            </w:pPr>
            <w:r>
              <w:rPr>
                <w:rFonts w:hint="eastAsia"/>
                <w:color w:val="auto"/>
                <w:sz w:val="24"/>
                <w:szCs w:val="24"/>
              </w:rPr>
              <w:t>三期（4#、5#炉）：</w:t>
            </w:r>
            <w:r>
              <w:rPr>
                <w:color w:val="auto"/>
                <w:sz w:val="24"/>
                <w:szCs w:val="24"/>
              </w:rPr>
              <w:t>2</w:t>
            </w:r>
            <w:r>
              <w:rPr>
                <w:rFonts w:hint="eastAsia"/>
                <w:color w:val="auto"/>
                <w:sz w:val="24"/>
                <w:szCs w:val="24"/>
              </w:rPr>
              <w:t>×</w:t>
            </w:r>
            <w:r>
              <w:rPr>
                <w:color w:val="auto"/>
                <w:sz w:val="24"/>
                <w:szCs w:val="24"/>
              </w:rPr>
              <w:t>30MW</w:t>
            </w:r>
            <w:r>
              <w:rPr>
                <w:rFonts w:hint="eastAsia"/>
                <w:color w:val="auto"/>
                <w:sz w:val="24"/>
                <w:szCs w:val="24"/>
              </w:rPr>
              <w:t>凝汽式机组+</w:t>
            </w:r>
            <w:r>
              <w:rPr>
                <w:color w:val="auto"/>
                <w:sz w:val="24"/>
                <w:szCs w:val="24"/>
              </w:rPr>
              <w:t>2</w:t>
            </w:r>
            <w:r>
              <w:rPr>
                <w:rFonts w:hint="eastAsia"/>
                <w:color w:val="auto"/>
                <w:sz w:val="24"/>
                <w:szCs w:val="24"/>
              </w:rPr>
              <w:t>×</w:t>
            </w:r>
            <w:r>
              <w:rPr>
                <w:color w:val="auto"/>
                <w:sz w:val="24"/>
                <w:szCs w:val="24"/>
              </w:rPr>
              <w:t>12MW</w:t>
            </w:r>
            <w:r>
              <w:rPr>
                <w:rFonts w:hint="eastAsia"/>
                <w:color w:val="auto"/>
                <w:sz w:val="24"/>
                <w:szCs w:val="24"/>
              </w:rPr>
              <w:t>背压式机组+</w:t>
            </w:r>
            <w:r>
              <w:rPr>
                <w:color w:val="auto"/>
                <w:sz w:val="24"/>
                <w:szCs w:val="24"/>
              </w:rPr>
              <w:t>2</w:t>
            </w:r>
            <w:r>
              <w:rPr>
                <w:rFonts w:hint="eastAsia"/>
                <w:color w:val="auto"/>
                <w:sz w:val="24"/>
                <w:szCs w:val="24"/>
              </w:rPr>
              <w:t>×</w:t>
            </w:r>
            <w:r>
              <w:rPr>
                <w:color w:val="auto"/>
                <w:sz w:val="24"/>
                <w:szCs w:val="24"/>
              </w:rPr>
              <w:t>240</w:t>
            </w:r>
            <w:r>
              <w:rPr>
                <w:rFonts w:hint="eastAsia"/>
                <w:color w:val="auto"/>
                <w:sz w:val="24"/>
                <w:szCs w:val="24"/>
              </w:rPr>
              <w:t>t</w:t>
            </w:r>
            <w:r>
              <w:rPr>
                <w:color w:val="auto"/>
                <w:sz w:val="24"/>
                <w:szCs w:val="24"/>
              </w:rPr>
              <w:t>/</w:t>
            </w:r>
            <w:r>
              <w:rPr>
                <w:rFonts w:hint="eastAsia"/>
                <w:color w:val="auto"/>
                <w:sz w:val="24"/>
                <w:szCs w:val="24"/>
              </w:rPr>
              <w:t>h高温高压燃气锅炉，2</w:t>
            </w:r>
            <w:r>
              <w:rPr>
                <w:color w:val="auto"/>
                <w:sz w:val="24"/>
                <w:szCs w:val="24"/>
              </w:rPr>
              <w:t>009</w:t>
            </w:r>
            <w:r>
              <w:rPr>
                <w:rFonts w:hint="eastAsia"/>
                <w:color w:val="auto"/>
                <w:sz w:val="24"/>
                <w:szCs w:val="24"/>
              </w:rPr>
              <w:t>年9月取得环评批复（陕环批复[</w:t>
            </w:r>
            <w:r>
              <w:rPr>
                <w:color w:val="auto"/>
                <w:sz w:val="24"/>
                <w:szCs w:val="24"/>
              </w:rPr>
              <w:t>2009]538</w:t>
            </w:r>
            <w:r>
              <w:rPr>
                <w:rFonts w:hint="eastAsia"/>
                <w:color w:val="auto"/>
                <w:sz w:val="24"/>
                <w:szCs w:val="24"/>
              </w:rPr>
              <w:t>号），2</w:t>
            </w:r>
            <w:r>
              <w:rPr>
                <w:color w:val="auto"/>
                <w:sz w:val="24"/>
                <w:szCs w:val="24"/>
              </w:rPr>
              <w:t>015</w:t>
            </w:r>
            <w:r>
              <w:rPr>
                <w:rFonts w:hint="eastAsia"/>
                <w:color w:val="auto"/>
                <w:sz w:val="24"/>
                <w:szCs w:val="24"/>
              </w:rPr>
              <w:t>年1</w:t>
            </w:r>
            <w:r>
              <w:rPr>
                <w:color w:val="auto"/>
                <w:sz w:val="24"/>
                <w:szCs w:val="24"/>
              </w:rPr>
              <w:t>1</w:t>
            </w:r>
            <w:r>
              <w:rPr>
                <w:rFonts w:hint="eastAsia"/>
                <w:color w:val="auto"/>
                <w:sz w:val="24"/>
                <w:szCs w:val="24"/>
              </w:rPr>
              <w:t>月通过竣工环保验收并取得验收批复（陕环批复[</w:t>
            </w:r>
            <w:r>
              <w:rPr>
                <w:color w:val="auto"/>
                <w:sz w:val="24"/>
                <w:szCs w:val="24"/>
              </w:rPr>
              <w:t>2015]759</w:t>
            </w:r>
            <w:r>
              <w:rPr>
                <w:rFonts w:hint="eastAsia"/>
                <w:color w:val="auto"/>
                <w:sz w:val="24"/>
                <w:szCs w:val="24"/>
              </w:rPr>
              <w:t>号）。</w:t>
            </w:r>
          </w:p>
          <w:p>
            <w:pPr>
              <w:spacing w:line="360" w:lineRule="auto"/>
              <w:ind w:firstLine="480"/>
              <w:rPr>
                <w:color w:val="auto"/>
                <w:sz w:val="24"/>
                <w:szCs w:val="24"/>
              </w:rPr>
            </w:pPr>
            <w:r>
              <w:rPr>
                <w:rFonts w:hint="eastAsia"/>
                <w:color w:val="auto"/>
                <w:sz w:val="24"/>
                <w:szCs w:val="24"/>
              </w:rPr>
              <w:t>根据《关中地区重点行业大气污染物排放限值》（D</w:t>
            </w:r>
            <w:r>
              <w:rPr>
                <w:color w:val="auto"/>
                <w:sz w:val="24"/>
                <w:szCs w:val="24"/>
              </w:rPr>
              <w:t>B61/914-2014</w:t>
            </w:r>
            <w:r>
              <w:rPr>
                <w:rFonts w:hint="eastAsia"/>
                <w:color w:val="auto"/>
                <w:sz w:val="24"/>
                <w:szCs w:val="24"/>
              </w:rPr>
              <w:t>），现有火力发电厂及燃气轮机组自</w:t>
            </w:r>
            <w:r>
              <w:rPr>
                <w:color w:val="auto"/>
                <w:sz w:val="24"/>
                <w:szCs w:val="24"/>
              </w:rPr>
              <w:t>2015</w:t>
            </w:r>
            <w:r>
              <w:rPr>
                <w:rFonts w:hint="eastAsia"/>
                <w:color w:val="auto"/>
                <w:sz w:val="24"/>
                <w:szCs w:val="24"/>
              </w:rPr>
              <w:t>年1月1日起执行表1规定的颗粒物、氮氧化物排放限值，自2</w:t>
            </w:r>
            <w:r>
              <w:rPr>
                <w:color w:val="auto"/>
                <w:sz w:val="24"/>
                <w:szCs w:val="24"/>
              </w:rPr>
              <w:t>016</w:t>
            </w:r>
            <w:r>
              <w:rPr>
                <w:rFonts w:hint="eastAsia"/>
                <w:color w:val="auto"/>
                <w:sz w:val="24"/>
                <w:szCs w:val="24"/>
              </w:rPr>
              <w:t>年7月1日起执行表1规定的二氧化硫排放限值。</w:t>
            </w:r>
          </w:p>
          <w:p>
            <w:pPr>
              <w:spacing w:line="360" w:lineRule="auto"/>
              <w:ind w:firstLine="480" w:firstLineChars="200"/>
              <w:rPr>
                <w:color w:val="auto"/>
                <w:sz w:val="24"/>
                <w:szCs w:val="24"/>
              </w:rPr>
            </w:pPr>
            <w:r>
              <w:rPr>
                <w:rFonts w:hint="eastAsia"/>
                <w:color w:val="auto"/>
                <w:sz w:val="24"/>
                <w:szCs w:val="20"/>
              </w:rPr>
              <w:t>根据陕西省环境监测中心站2015年9月29日对现有工程进行的监督性监测报告（陕环监字[2015]第044号），现有工程锅炉烟气SO</w:t>
            </w:r>
            <w:r>
              <w:rPr>
                <w:rFonts w:hint="eastAsia"/>
                <w:color w:val="auto"/>
                <w:sz w:val="24"/>
                <w:szCs w:val="20"/>
                <w:vertAlign w:val="subscript"/>
              </w:rPr>
              <w:t>2</w:t>
            </w:r>
            <w:r>
              <w:rPr>
                <w:rFonts w:hint="eastAsia"/>
                <w:color w:val="auto"/>
                <w:sz w:val="24"/>
                <w:szCs w:val="20"/>
              </w:rPr>
              <w:t>排放浓度为61~100mg/m</w:t>
            </w:r>
            <w:r>
              <w:rPr>
                <w:rFonts w:hint="eastAsia"/>
                <w:color w:val="auto"/>
                <w:sz w:val="24"/>
                <w:szCs w:val="20"/>
                <w:vertAlign w:val="superscript"/>
              </w:rPr>
              <w:t>3</w:t>
            </w:r>
            <w:r>
              <w:rPr>
                <w:rFonts w:hint="eastAsia"/>
                <w:color w:val="auto"/>
                <w:sz w:val="24"/>
                <w:szCs w:val="20"/>
              </w:rPr>
              <w:t>，S</w:t>
            </w:r>
            <w:r>
              <w:rPr>
                <w:color w:val="auto"/>
                <w:sz w:val="24"/>
                <w:szCs w:val="20"/>
              </w:rPr>
              <w:t>O</w:t>
            </w:r>
            <w:r>
              <w:rPr>
                <w:color w:val="auto"/>
                <w:sz w:val="24"/>
                <w:szCs w:val="20"/>
                <w:vertAlign w:val="subscript"/>
              </w:rPr>
              <w:t>2</w:t>
            </w:r>
            <w:r>
              <w:rPr>
                <w:rFonts w:hint="eastAsia"/>
                <w:color w:val="auto"/>
                <w:sz w:val="24"/>
                <w:szCs w:val="20"/>
              </w:rPr>
              <w:t>排放浓度无法满足</w:t>
            </w:r>
            <w:r>
              <w:rPr>
                <w:rFonts w:hint="eastAsia"/>
                <w:color w:val="auto"/>
                <w:sz w:val="24"/>
                <w:szCs w:val="24"/>
              </w:rPr>
              <w:t>《关中地区重点行业大气污染物排放限值》（D</w:t>
            </w:r>
            <w:r>
              <w:rPr>
                <w:color w:val="auto"/>
                <w:sz w:val="24"/>
                <w:szCs w:val="24"/>
              </w:rPr>
              <w:t>B61/914-2014</w:t>
            </w:r>
            <w:r>
              <w:rPr>
                <w:rFonts w:hint="eastAsia"/>
                <w:color w:val="auto"/>
                <w:sz w:val="24"/>
                <w:szCs w:val="24"/>
              </w:rPr>
              <w:t>）表1燃气锅炉</w:t>
            </w:r>
            <w:r>
              <w:rPr>
                <w:rFonts w:hint="eastAsia"/>
                <w:color w:val="auto"/>
                <w:sz w:val="24"/>
                <w:szCs w:val="20"/>
              </w:rPr>
              <w:t>S</w:t>
            </w:r>
            <w:r>
              <w:rPr>
                <w:color w:val="auto"/>
                <w:sz w:val="24"/>
                <w:szCs w:val="20"/>
              </w:rPr>
              <w:t>O</w:t>
            </w:r>
            <w:r>
              <w:rPr>
                <w:color w:val="auto"/>
                <w:sz w:val="24"/>
                <w:szCs w:val="20"/>
                <w:vertAlign w:val="subscript"/>
              </w:rPr>
              <w:t>2</w:t>
            </w:r>
            <w:r>
              <w:rPr>
                <w:rFonts w:hint="eastAsia"/>
                <w:color w:val="auto"/>
                <w:sz w:val="24"/>
                <w:szCs w:val="24"/>
              </w:rPr>
              <w:t>≤35mg</w:t>
            </w:r>
            <w:r>
              <w:rPr>
                <w:color w:val="auto"/>
                <w:sz w:val="24"/>
                <w:szCs w:val="24"/>
              </w:rPr>
              <w:t>/</w:t>
            </w:r>
            <w:r>
              <w:rPr>
                <w:rFonts w:hint="eastAsia"/>
                <w:color w:val="auto"/>
                <w:sz w:val="24"/>
                <w:szCs w:val="24"/>
              </w:rPr>
              <w:t>m</w:t>
            </w:r>
            <w:r>
              <w:rPr>
                <w:color w:val="auto"/>
                <w:sz w:val="24"/>
                <w:szCs w:val="24"/>
                <w:vertAlign w:val="superscript"/>
              </w:rPr>
              <w:t>3</w:t>
            </w:r>
            <w:r>
              <w:rPr>
                <w:rFonts w:hint="eastAsia"/>
                <w:color w:val="auto"/>
                <w:sz w:val="24"/>
                <w:szCs w:val="24"/>
              </w:rPr>
              <w:t>的排放限值要求。因此，陕西华富新能源有限公司决定建设五台燃气锅炉脱硫、除尘环保改造项目，以确保锅炉烟气污染物稳定达标排放。该项目于2</w:t>
            </w:r>
            <w:r>
              <w:rPr>
                <w:color w:val="auto"/>
                <w:sz w:val="24"/>
                <w:szCs w:val="24"/>
              </w:rPr>
              <w:t>017</w:t>
            </w:r>
            <w:r>
              <w:rPr>
                <w:rFonts w:hint="eastAsia"/>
                <w:color w:val="auto"/>
                <w:sz w:val="24"/>
                <w:szCs w:val="24"/>
              </w:rPr>
              <w:t>年9月2</w:t>
            </w:r>
            <w:r>
              <w:rPr>
                <w:color w:val="auto"/>
                <w:sz w:val="24"/>
                <w:szCs w:val="24"/>
              </w:rPr>
              <w:t>0</w:t>
            </w:r>
            <w:r>
              <w:rPr>
                <w:rFonts w:hint="eastAsia"/>
                <w:color w:val="auto"/>
                <w:sz w:val="24"/>
                <w:szCs w:val="24"/>
              </w:rPr>
              <w:t>日开工建设，2</w:t>
            </w:r>
            <w:r>
              <w:rPr>
                <w:color w:val="auto"/>
                <w:sz w:val="24"/>
                <w:szCs w:val="24"/>
              </w:rPr>
              <w:t>018</w:t>
            </w:r>
            <w:r>
              <w:rPr>
                <w:rFonts w:hint="eastAsia"/>
                <w:color w:val="auto"/>
                <w:sz w:val="24"/>
                <w:szCs w:val="24"/>
              </w:rPr>
              <w:t>年2月建成，2</w:t>
            </w:r>
            <w:r>
              <w:rPr>
                <w:color w:val="auto"/>
                <w:sz w:val="24"/>
                <w:szCs w:val="24"/>
              </w:rPr>
              <w:t>018</w:t>
            </w:r>
            <w:r>
              <w:rPr>
                <w:rFonts w:hint="eastAsia"/>
                <w:color w:val="auto"/>
                <w:sz w:val="24"/>
                <w:szCs w:val="24"/>
              </w:rPr>
              <w:t>年5月2</w:t>
            </w:r>
            <w:r>
              <w:rPr>
                <w:color w:val="auto"/>
                <w:sz w:val="24"/>
                <w:szCs w:val="24"/>
              </w:rPr>
              <w:t>6</w:t>
            </w:r>
            <w:r>
              <w:rPr>
                <w:rFonts w:hint="eastAsia"/>
                <w:color w:val="auto"/>
                <w:sz w:val="24"/>
                <w:szCs w:val="24"/>
              </w:rPr>
              <w:t>日正式投入运行。</w:t>
            </w:r>
          </w:p>
          <w:p>
            <w:pPr>
              <w:spacing w:line="360" w:lineRule="auto"/>
              <w:ind w:firstLine="480"/>
              <w:rPr>
                <w:color w:val="auto"/>
                <w:sz w:val="24"/>
                <w:szCs w:val="24"/>
              </w:rPr>
            </w:pPr>
            <w:r>
              <w:rPr>
                <w:color w:val="auto"/>
                <w:sz w:val="24"/>
                <w:szCs w:val="24"/>
              </w:rPr>
              <w:t>根据《中华人民共和国环境影响评价法》、《建设项目环境保护管理条例》及《建设项目环境保护分类管理名录》等规定，该项目应进行环境影响评价</w:t>
            </w:r>
            <w:r>
              <w:rPr>
                <w:rFonts w:hint="eastAsia"/>
                <w:color w:val="auto"/>
                <w:sz w:val="24"/>
                <w:szCs w:val="24"/>
              </w:rPr>
              <w:t>。</w:t>
            </w:r>
            <w:r>
              <w:rPr>
                <w:color w:val="auto"/>
                <w:sz w:val="24"/>
                <w:szCs w:val="24"/>
              </w:rPr>
              <w:t>为此，</w:t>
            </w:r>
            <w:r>
              <w:rPr>
                <w:rFonts w:hint="eastAsia"/>
                <w:color w:val="auto"/>
                <w:sz w:val="24"/>
                <w:szCs w:val="24"/>
              </w:rPr>
              <w:t>陕西华富新能源有限</w:t>
            </w:r>
            <w:r>
              <w:rPr>
                <w:color w:val="auto"/>
                <w:sz w:val="24"/>
                <w:szCs w:val="24"/>
              </w:rPr>
              <w:t>公司于201</w:t>
            </w:r>
            <w:r>
              <w:rPr>
                <w:rFonts w:hint="eastAsia"/>
                <w:color w:val="auto"/>
                <w:sz w:val="24"/>
                <w:szCs w:val="24"/>
              </w:rPr>
              <w:t>8</w:t>
            </w:r>
            <w:r>
              <w:rPr>
                <w:color w:val="auto"/>
                <w:sz w:val="24"/>
                <w:szCs w:val="24"/>
              </w:rPr>
              <w:t>年</w:t>
            </w:r>
            <w:r>
              <w:rPr>
                <w:rFonts w:hint="eastAsia"/>
                <w:color w:val="auto"/>
                <w:sz w:val="24"/>
                <w:szCs w:val="24"/>
              </w:rPr>
              <w:t>6</w:t>
            </w:r>
            <w:r>
              <w:rPr>
                <w:color w:val="auto"/>
                <w:sz w:val="24"/>
                <w:szCs w:val="24"/>
              </w:rPr>
              <w:t>月1</w:t>
            </w:r>
            <w:r>
              <w:rPr>
                <w:rFonts w:hint="eastAsia"/>
                <w:color w:val="auto"/>
                <w:sz w:val="24"/>
                <w:szCs w:val="24"/>
              </w:rPr>
              <w:t>9</w:t>
            </w:r>
            <w:r>
              <w:rPr>
                <w:color w:val="auto"/>
                <w:sz w:val="24"/>
                <w:szCs w:val="24"/>
              </w:rPr>
              <w:t>日委托我单位进行该项目环境影响评价工作，接受委托后，我院立即组织人员对项目现场进行实地踏勘，调查了解项目所在地的自然、社会和生态环境相关资料及项目有关技术资料，通过全面深入调查、监测、分析编制完成该项目环境影响报告表。</w:t>
            </w:r>
          </w:p>
          <w:p>
            <w:pPr>
              <w:spacing w:line="360" w:lineRule="auto"/>
              <w:ind w:firstLine="482" w:firstLineChars="200"/>
              <w:jc w:val="left"/>
              <w:rPr>
                <w:b/>
                <w:bCs/>
                <w:color w:val="auto"/>
                <w:sz w:val="24"/>
                <w:szCs w:val="24"/>
              </w:rPr>
            </w:pPr>
            <w:r>
              <w:rPr>
                <w:b/>
                <w:bCs/>
                <w:color w:val="auto"/>
                <w:sz w:val="24"/>
                <w:szCs w:val="24"/>
              </w:rPr>
              <w:t>二、</w:t>
            </w:r>
            <w:r>
              <w:rPr>
                <w:rFonts w:hint="eastAsia"/>
                <w:b/>
                <w:bCs/>
                <w:color w:val="auto"/>
                <w:sz w:val="24"/>
                <w:szCs w:val="24"/>
              </w:rPr>
              <w:t>相关</w:t>
            </w:r>
            <w:r>
              <w:rPr>
                <w:b/>
                <w:bCs/>
                <w:color w:val="auto"/>
                <w:sz w:val="24"/>
                <w:szCs w:val="24"/>
              </w:rPr>
              <w:t>政策符合性分析</w:t>
            </w:r>
          </w:p>
          <w:p>
            <w:pPr>
              <w:tabs>
                <w:tab w:val="left" w:pos="624"/>
                <w:tab w:val="left" w:pos="705"/>
              </w:tabs>
              <w:spacing w:line="360" w:lineRule="auto"/>
              <w:ind w:firstLine="624"/>
              <w:rPr>
                <w:color w:val="auto"/>
                <w:sz w:val="24"/>
                <w:szCs w:val="24"/>
              </w:rPr>
            </w:pPr>
            <w:r>
              <w:rPr>
                <w:rFonts w:hint="eastAsia"/>
                <w:color w:val="auto"/>
                <w:sz w:val="24"/>
                <w:szCs w:val="24"/>
              </w:rPr>
              <w:t>1、产业政策符合性分析</w:t>
            </w:r>
          </w:p>
          <w:p>
            <w:pPr>
              <w:tabs>
                <w:tab w:val="left" w:pos="624"/>
                <w:tab w:val="left" w:pos="705"/>
              </w:tabs>
              <w:spacing w:line="360" w:lineRule="auto"/>
              <w:ind w:firstLine="624"/>
              <w:rPr>
                <w:color w:val="auto"/>
                <w:sz w:val="24"/>
                <w:szCs w:val="24"/>
              </w:rPr>
            </w:pPr>
            <w:r>
              <w:rPr>
                <w:color w:val="auto"/>
                <w:sz w:val="24"/>
                <w:szCs w:val="24"/>
              </w:rPr>
              <w:t>本项目属于《产业结构调整指导目录（2011年）》（2013修订本）鼓励类之“三十八、环境保护与资源节约综合利用—15.“三废”综合利用及治理工程”。同时，项目已取得</w:t>
            </w:r>
            <w:r>
              <w:rPr>
                <w:rFonts w:hint="eastAsia"/>
                <w:color w:val="auto"/>
                <w:sz w:val="24"/>
                <w:szCs w:val="24"/>
              </w:rPr>
              <w:t>韩城市发展和改革委员会</w:t>
            </w:r>
            <w:r>
              <w:rPr>
                <w:color w:val="auto"/>
                <w:sz w:val="24"/>
                <w:szCs w:val="24"/>
              </w:rPr>
              <w:t>备案批复文件（</w:t>
            </w:r>
            <w:r>
              <w:rPr>
                <w:rFonts w:hint="eastAsia"/>
                <w:color w:val="auto"/>
                <w:sz w:val="24"/>
                <w:szCs w:val="24"/>
              </w:rPr>
              <w:t>韩发改发</w:t>
            </w:r>
            <w:r>
              <w:rPr>
                <w:color w:val="auto"/>
                <w:sz w:val="24"/>
                <w:szCs w:val="24"/>
              </w:rPr>
              <w:t>[201</w:t>
            </w:r>
            <w:r>
              <w:rPr>
                <w:rFonts w:hint="eastAsia"/>
                <w:color w:val="auto"/>
                <w:sz w:val="24"/>
                <w:szCs w:val="24"/>
              </w:rPr>
              <w:t>7</w:t>
            </w:r>
            <w:r>
              <w:rPr>
                <w:color w:val="auto"/>
                <w:sz w:val="24"/>
                <w:szCs w:val="24"/>
              </w:rPr>
              <w:t>]2</w:t>
            </w:r>
            <w:r>
              <w:rPr>
                <w:rFonts w:hint="eastAsia"/>
                <w:color w:val="auto"/>
                <w:sz w:val="24"/>
                <w:szCs w:val="24"/>
              </w:rPr>
              <w:t>15</w:t>
            </w:r>
            <w:r>
              <w:rPr>
                <w:color w:val="auto"/>
                <w:sz w:val="24"/>
                <w:szCs w:val="24"/>
              </w:rPr>
              <w:t>号），项目建设符合国家及地方产业政策要求。</w:t>
            </w:r>
          </w:p>
          <w:p>
            <w:pPr>
              <w:tabs>
                <w:tab w:val="left" w:pos="624"/>
                <w:tab w:val="left" w:pos="705"/>
              </w:tabs>
              <w:spacing w:line="360" w:lineRule="auto"/>
              <w:ind w:firstLine="624"/>
              <w:rPr>
                <w:color w:val="auto"/>
                <w:sz w:val="24"/>
                <w:szCs w:val="24"/>
              </w:rPr>
            </w:pPr>
            <w:r>
              <w:rPr>
                <w:rFonts w:hint="eastAsia"/>
                <w:color w:val="auto"/>
                <w:sz w:val="24"/>
                <w:szCs w:val="24"/>
              </w:rPr>
              <w:t>2、与《打赢蓝天保卫战三年行动计划》（国发[2018]22号）符合性分析</w:t>
            </w:r>
          </w:p>
          <w:p>
            <w:pPr>
              <w:tabs>
                <w:tab w:val="left" w:pos="624"/>
                <w:tab w:val="left" w:pos="705"/>
              </w:tabs>
              <w:spacing w:line="360" w:lineRule="auto"/>
              <w:ind w:firstLine="624"/>
              <w:rPr>
                <w:color w:val="auto"/>
                <w:sz w:val="24"/>
                <w:szCs w:val="24"/>
              </w:rPr>
            </w:pPr>
            <w:r>
              <w:rPr>
                <w:rFonts w:hint="eastAsia"/>
                <w:color w:val="auto"/>
                <w:sz w:val="24"/>
                <w:szCs w:val="24"/>
              </w:rPr>
              <w:t>根据《国务院关于印发打赢蓝天保卫战三年行动计划的通知》（国发[2018]22号），项目所在地属重点区域，与《打赢蓝天保卫战三年行动计划》符合性分析见表1。</w:t>
            </w:r>
          </w:p>
          <w:p>
            <w:pPr>
              <w:tabs>
                <w:tab w:val="left" w:pos="624"/>
                <w:tab w:val="left" w:pos="705"/>
              </w:tabs>
              <w:spacing w:line="360" w:lineRule="auto"/>
              <w:jc w:val="center"/>
              <w:rPr>
                <w:b/>
                <w:color w:val="auto"/>
                <w:sz w:val="24"/>
                <w:szCs w:val="24"/>
              </w:rPr>
            </w:pPr>
            <w:r>
              <w:rPr>
                <w:rFonts w:hint="eastAsia"/>
                <w:b/>
                <w:color w:val="auto"/>
                <w:sz w:val="24"/>
                <w:szCs w:val="24"/>
              </w:rPr>
              <w:t>表1  项目与《打赢蓝天保卫战三年行动计划》符合性分析表</w:t>
            </w:r>
          </w:p>
          <w:tbl>
            <w:tblPr>
              <w:tblStyle w:val="26"/>
              <w:tblW w:w="9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000"/>
              <w:gridCol w:w="3248"/>
              <w:gridCol w:w="3968"/>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c>
                <w:tcPr>
                  <w:tcW w:w="1000" w:type="dxa"/>
                  <w:vAlign w:val="center"/>
                </w:tcPr>
                <w:p>
                  <w:pPr>
                    <w:pStyle w:val="71"/>
                    <w:rPr>
                      <w:color w:val="auto"/>
                    </w:rPr>
                  </w:pPr>
                  <w:r>
                    <w:rPr>
                      <w:color w:val="auto"/>
                    </w:rPr>
                    <w:t>项目</w:t>
                  </w:r>
                </w:p>
              </w:tc>
              <w:tc>
                <w:tcPr>
                  <w:tcW w:w="3248" w:type="dxa"/>
                  <w:vAlign w:val="center"/>
                </w:tcPr>
                <w:p>
                  <w:pPr>
                    <w:pStyle w:val="71"/>
                    <w:rPr>
                      <w:color w:val="auto"/>
                    </w:rPr>
                  </w:pPr>
                  <w:r>
                    <w:rPr>
                      <w:rFonts w:hint="eastAsia"/>
                      <w:color w:val="auto"/>
                    </w:rPr>
                    <w:t>行动计划</w:t>
                  </w:r>
                  <w:r>
                    <w:rPr>
                      <w:color w:val="auto"/>
                    </w:rPr>
                    <w:t>内容（节选）</w:t>
                  </w:r>
                </w:p>
              </w:tc>
              <w:tc>
                <w:tcPr>
                  <w:tcW w:w="3968" w:type="dxa"/>
                  <w:vAlign w:val="center"/>
                </w:tcPr>
                <w:p>
                  <w:pPr>
                    <w:pStyle w:val="71"/>
                    <w:rPr>
                      <w:color w:val="auto"/>
                    </w:rPr>
                  </w:pPr>
                  <w:r>
                    <w:rPr>
                      <w:color w:val="auto"/>
                    </w:rPr>
                    <w:t>项目情况</w:t>
                  </w:r>
                </w:p>
              </w:tc>
              <w:tc>
                <w:tcPr>
                  <w:tcW w:w="863" w:type="dxa"/>
                  <w:vAlign w:val="center"/>
                </w:tcPr>
                <w:p>
                  <w:pPr>
                    <w:pStyle w:val="71"/>
                    <w:rPr>
                      <w:color w:val="auto"/>
                    </w:rPr>
                  </w:pPr>
                  <w:r>
                    <w:rPr>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1880" w:hRule="atLeast"/>
              </w:trPr>
              <w:tc>
                <w:tcPr>
                  <w:tcW w:w="1000" w:type="dxa"/>
                  <w:vMerge w:val="restart"/>
                  <w:vAlign w:val="center"/>
                </w:tcPr>
                <w:p>
                  <w:pPr>
                    <w:pStyle w:val="71"/>
                    <w:rPr>
                      <w:color w:val="auto"/>
                    </w:rPr>
                  </w:pPr>
                  <w:r>
                    <w:rPr>
                      <w:rFonts w:hint="eastAsia"/>
                      <w:color w:val="auto"/>
                    </w:rPr>
                    <w:t>深化工业污染治理</w:t>
                  </w:r>
                </w:p>
              </w:tc>
              <w:tc>
                <w:tcPr>
                  <w:tcW w:w="3248" w:type="dxa"/>
                  <w:vAlign w:val="center"/>
                </w:tcPr>
                <w:p>
                  <w:pPr>
                    <w:pStyle w:val="71"/>
                    <w:rPr>
                      <w:color w:val="auto"/>
                    </w:rPr>
                  </w:pPr>
                  <w:r>
                    <w:rPr>
                      <w:rFonts w:hint="eastAsia"/>
                      <w:color w:val="auto"/>
                    </w:rPr>
                    <w:t>持续推进工业污染源全面达标排放，将烟气在线监测数据作为执法依据，……</w:t>
                  </w:r>
                  <w:r>
                    <w:rPr>
                      <w:rFonts w:hint="eastAsia"/>
                      <w:b/>
                      <w:color w:val="auto"/>
                    </w:rPr>
                    <w:t>建立覆盖所有固定污染源的企业排放许可制度，2020年底前，完成排污许可管理名录规定的行业许可证核发</w:t>
                  </w:r>
                </w:p>
              </w:tc>
              <w:tc>
                <w:tcPr>
                  <w:tcW w:w="3968" w:type="dxa"/>
                  <w:vAlign w:val="center"/>
                </w:tcPr>
                <w:p>
                  <w:pPr>
                    <w:pStyle w:val="71"/>
                    <w:rPr>
                      <w:color w:val="auto"/>
                    </w:rPr>
                  </w:pPr>
                  <w:r>
                    <w:rPr>
                      <w:rFonts w:hint="eastAsia"/>
                      <w:color w:val="auto"/>
                    </w:rPr>
                    <w:t>建设单位已于2018年6月11日填报并提交《排污许可申请表》（试行）</w:t>
                  </w:r>
                </w:p>
              </w:tc>
              <w:tc>
                <w:tcPr>
                  <w:tcW w:w="863" w:type="dxa"/>
                  <w:vAlign w:val="center"/>
                </w:tcPr>
                <w:p>
                  <w:pPr>
                    <w:pStyle w:val="71"/>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c>
                <w:tcPr>
                  <w:tcW w:w="1000" w:type="dxa"/>
                  <w:vMerge w:val="continue"/>
                  <w:vAlign w:val="center"/>
                </w:tcPr>
                <w:p>
                  <w:pPr>
                    <w:pStyle w:val="71"/>
                    <w:rPr>
                      <w:color w:val="auto"/>
                    </w:rPr>
                  </w:pPr>
                </w:p>
              </w:tc>
              <w:tc>
                <w:tcPr>
                  <w:tcW w:w="3248" w:type="dxa"/>
                  <w:vAlign w:val="center"/>
                </w:tcPr>
                <w:p>
                  <w:pPr>
                    <w:pStyle w:val="71"/>
                    <w:rPr>
                      <w:color w:val="auto"/>
                    </w:rPr>
                  </w:pPr>
                  <w:r>
                    <w:rPr>
                      <w:rFonts w:hint="eastAsia"/>
                      <w:color w:val="auto"/>
                    </w:rPr>
                    <w:t>推进重点行业污染治理升级改造。重点区域二氧化硫、氮氧化物、颗粒物、挥发性有机物（VOCs）全面执行大气污染物特别排放限值</w:t>
                  </w:r>
                </w:p>
              </w:tc>
              <w:tc>
                <w:tcPr>
                  <w:tcW w:w="3968" w:type="dxa"/>
                  <w:vAlign w:val="center"/>
                </w:tcPr>
                <w:p>
                  <w:pPr>
                    <w:pStyle w:val="71"/>
                    <w:rPr>
                      <w:color w:val="auto"/>
                    </w:rPr>
                  </w:pPr>
                  <w:r>
                    <w:rPr>
                      <w:rFonts w:hint="eastAsia"/>
                      <w:color w:val="auto"/>
                    </w:rPr>
                    <w:t>项目所在地属重点区域，主要污染物二氧化硫、氮氧化物、颗粒物应执行陕西省地方标准《关中地区重点行业大气污染物排放限值》（DB61/941-2014）表1标准限值，地方标准同时可满足《火电厂大气污染物排放标准》（GB13223-2011）表2特别排放限值</w:t>
                  </w:r>
                </w:p>
              </w:tc>
              <w:tc>
                <w:tcPr>
                  <w:tcW w:w="863" w:type="dxa"/>
                  <w:vAlign w:val="center"/>
                </w:tcPr>
                <w:p>
                  <w:pPr>
                    <w:pStyle w:val="71"/>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c>
                <w:tcPr>
                  <w:tcW w:w="1000" w:type="dxa"/>
                  <w:vAlign w:val="center"/>
                </w:tcPr>
                <w:p>
                  <w:pPr>
                    <w:pStyle w:val="71"/>
                    <w:rPr>
                      <w:color w:val="auto"/>
                    </w:rPr>
                  </w:pPr>
                  <w:r>
                    <w:rPr>
                      <w:rFonts w:hint="eastAsia"/>
                      <w:color w:val="auto"/>
                    </w:rPr>
                    <w:t>强化重点污染源自动监控体系建设</w:t>
                  </w:r>
                </w:p>
              </w:tc>
              <w:tc>
                <w:tcPr>
                  <w:tcW w:w="3248" w:type="dxa"/>
                  <w:vAlign w:val="center"/>
                </w:tcPr>
                <w:p>
                  <w:pPr>
                    <w:pStyle w:val="71"/>
                    <w:rPr>
                      <w:color w:val="auto"/>
                    </w:rPr>
                  </w:pPr>
                  <w:r>
                    <w:rPr>
                      <w:rFonts w:hint="eastAsia"/>
                      <w:color w:val="auto"/>
                    </w:rPr>
                    <w:t>排气口高度超过45米的高架源，以及石化、化工、包装印刷、工业涂装等VOCs排放重点源，纳入重点排污单位名录，督促企业安装烟气排放自动监控设施</w:t>
                  </w:r>
                </w:p>
              </w:tc>
              <w:tc>
                <w:tcPr>
                  <w:tcW w:w="3968" w:type="dxa"/>
                  <w:vAlign w:val="center"/>
                </w:tcPr>
                <w:p>
                  <w:pPr>
                    <w:pStyle w:val="71"/>
                    <w:rPr>
                      <w:color w:val="auto"/>
                    </w:rPr>
                  </w:pPr>
                  <w:r>
                    <w:rPr>
                      <w:rFonts w:hint="eastAsia"/>
                      <w:color w:val="auto"/>
                    </w:rPr>
                    <w:t>项目3根烟囱高度均为80米，锅炉烟气排放口均已安装在线监测系统</w:t>
                  </w:r>
                </w:p>
              </w:tc>
              <w:tc>
                <w:tcPr>
                  <w:tcW w:w="863" w:type="dxa"/>
                  <w:vAlign w:val="center"/>
                </w:tcPr>
                <w:p>
                  <w:pPr>
                    <w:pStyle w:val="71"/>
                    <w:rPr>
                      <w:color w:val="auto"/>
                    </w:rPr>
                  </w:pPr>
                  <w:r>
                    <w:rPr>
                      <w:rFonts w:hint="eastAsia"/>
                      <w:color w:val="auto"/>
                    </w:rPr>
                    <w:t>符合</w:t>
                  </w:r>
                </w:p>
              </w:tc>
            </w:tr>
          </w:tbl>
          <w:p>
            <w:pPr>
              <w:tabs>
                <w:tab w:val="left" w:pos="624"/>
                <w:tab w:val="left" w:pos="705"/>
              </w:tabs>
              <w:spacing w:line="360" w:lineRule="auto"/>
              <w:ind w:firstLine="624"/>
              <w:rPr>
                <w:color w:val="auto"/>
                <w:sz w:val="24"/>
                <w:szCs w:val="24"/>
              </w:rPr>
            </w:pPr>
            <w:r>
              <w:rPr>
                <w:rFonts w:hint="eastAsia"/>
                <w:color w:val="auto"/>
                <w:sz w:val="24"/>
                <w:szCs w:val="24"/>
              </w:rPr>
              <w:t>3、与《陕西省铁腕治霾打赢蓝天保卫战三年行动方案（2018-2020年）》符合性分析</w:t>
            </w:r>
          </w:p>
          <w:p>
            <w:pPr>
              <w:tabs>
                <w:tab w:val="left" w:pos="624"/>
                <w:tab w:val="left" w:pos="705"/>
              </w:tabs>
              <w:spacing w:line="360" w:lineRule="auto"/>
              <w:ind w:firstLine="624"/>
              <w:rPr>
                <w:color w:val="auto"/>
                <w:sz w:val="24"/>
                <w:szCs w:val="24"/>
              </w:rPr>
            </w:pPr>
            <w:r>
              <w:rPr>
                <w:rFonts w:hint="eastAsia"/>
                <w:color w:val="auto"/>
                <w:sz w:val="24"/>
                <w:szCs w:val="24"/>
              </w:rPr>
              <w:t>项目与《陕西省铁腕治霾打赢蓝天保卫战三年行动方案（2018-2020年）》符合性分析见表2。</w:t>
            </w:r>
          </w:p>
          <w:p>
            <w:pPr>
              <w:tabs>
                <w:tab w:val="left" w:pos="624"/>
                <w:tab w:val="left" w:pos="705"/>
              </w:tabs>
              <w:spacing w:line="360" w:lineRule="auto"/>
              <w:jc w:val="center"/>
              <w:rPr>
                <w:b/>
                <w:color w:val="auto"/>
                <w:sz w:val="24"/>
                <w:szCs w:val="24"/>
              </w:rPr>
            </w:pPr>
            <w:r>
              <w:rPr>
                <w:rFonts w:hint="eastAsia"/>
                <w:b/>
                <w:color w:val="auto"/>
                <w:sz w:val="24"/>
                <w:szCs w:val="24"/>
              </w:rPr>
              <w:t>表2  项目与《陕西省铁腕治霾打赢蓝天保卫战三年行动方案（2018-2020年）》</w:t>
            </w:r>
          </w:p>
          <w:p>
            <w:pPr>
              <w:tabs>
                <w:tab w:val="left" w:pos="624"/>
                <w:tab w:val="left" w:pos="705"/>
              </w:tabs>
              <w:spacing w:line="360" w:lineRule="auto"/>
              <w:jc w:val="center"/>
              <w:rPr>
                <w:b/>
                <w:color w:val="auto"/>
                <w:sz w:val="24"/>
                <w:szCs w:val="24"/>
              </w:rPr>
            </w:pPr>
            <w:r>
              <w:rPr>
                <w:rFonts w:hint="eastAsia"/>
                <w:b/>
                <w:color w:val="auto"/>
                <w:sz w:val="24"/>
                <w:szCs w:val="24"/>
              </w:rPr>
              <w:t>符合性分析表</w:t>
            </w:r>
          </w:p>
          <w:tbl>
            <w:tblPr>
              <w:tblStyle w:val="26"/>
              <w:tblW w:w="9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000"/>
              <w:gridCol w:w="3248"/>
              <w:gridCol w:w="3968"/>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c>
                <w:tcPr>
                  <w:tcW w:w="1000" w:type="dxa"/>
                  <w:vAlign w:val="center"/>
                </w:tcPr>
                <w:p>
                  <w:pPr>
                    <w:pStyle w:val="71"/>
                    <w:rPr>
                      <w:color w:val="auto"/>
                    </w:rPr>
                  </w:pPr>
                  <w:r>
                    <w:rPr>
                      <w:color w:val="auto"/>
                    </w:rPr>
                    <w:t>项目</w:t>
                  </w:r>
                </w:p>
              </w:tc>
              <w:tc>
                <w:tcPr>
                  <w:tcW w:w="3248" w:type="dxa"/>
                  <w:vAlign w:val="center"/>
                </w:tcPr>
                <w:p>
                  <w:pPr>
                    <w:pStyle w:val="71"/>
                    <w:rPr>
                      <w:color w:val="auto"/>
                    </w:rPr>
                  </w:pPr>
                  <w:r>
                    <w:rPr>
                      <w:rFonts w:hint="eastAsia"/>
                      <w:color w:val="auto"/>
                    </w:rPr>
                    <w:t>行动方案</w:t>
                  </w:r>
                  <w:r>
                    <w:rPr>
                      <w:color w:val="auto"/>
                    </w:rPr>
                    <w:t>内容（节选）</w:t>
                  </w:r>
                </w:p>
              </w:tc>
              <w:tc>
                <w:tcPr>
                  <w:tcW w:w="3968" w:type="dxa"/>
                  <w:vAlign w:val="center"/>
                </w:tcPr>
                <w:p>
                  <w:pPr>
                    <w:pStyle w:val="71"/>
                    <w:rPr>
                      <w:color w:val="auto"/>
                    </w:rPr>
                  </w:pPr>
                  <w:r>
                    <w:rPr>
                      <w:color w:val="auto"/>
                    </w:rPr>
                    <w:t>项目情况</w:t>
                  </w:r>
                </w:p>
              </w:tc>
              <w:tc>
                <w:tcPr>
                  <w:tcW w:w="863" w:type="dxa"/>
                  <w:vAlign w:val="center"/>
                </w:tcPr>
                <w:p>
                  <w:pPr>
                    <w:pStyle w:val="71"/>
                    <w:rPr>
                      <w:color w:val="auto"/>
                    </w:rPr>
                  </w:pPr>
                  <w:r>
                    <w:rPr>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1422" w:hRule="atLeast"/>
              </w:trPr>
              <w:tc>
                <w:tcPr>
                  <w:tcW w:w="1000" w:type="dxa"/>
                  <w:vAlign w:val="center"/>
                </w:tcPr>
                <w:p>
                  <w:pPr>
                    <w:pStyle w:val="71"/>
                    <w:rPr>
                      <w:color w:val="auto"/>
                    </w:rPr>
                  </w:pPr>
                  <w:r>
                    <w:rPr>
                      <w:rFonts w:hint="eastAsia"/>
                      <w:color w:val="auto"/>
                    </w:rPr>
                    <w:t>开展燃气锅炉低氮燃烧改造</w:t>
                  </w:r>
                </w:p>
              </w:tc>
              <w:tc>
                <w:tcPr>
                  <w:tcW w:w="3248" w:type="dxa"/>
                  <w:vAlign w:val="center"/>
                </w:tcPr>
                <w:p>
                  <w:pPr>
                    <w:pStyle w:val="71"/>
                    <w:rPr>
                      <w:color w:val="auto"/>
                    </w:rPr>
                  </w:pPr>
                  <w:r>
                    <w:rPr>
                      <w:rFonts w:hint="eastAsia"/>
                      <w:color w:val="auto"/>
                    </w:rPr>
                    <w:t>2019年底前，完成关中地区现有燃气锅炉低氮燃烧改造，其中，生产经营类天然气锅炉2018年全部完成。改造后的氮氧化物排放低于80毫克/立方米</w:t>
                  </w:r>
                </w:p>
              </w:tc>
              <w:tc>
                <w:tcPr>
                  <w:tcW w:w="3968" w:type="dxa"/>
                  <w:vAlign w:val="center"/>
                </w:tcPr>
                <w:p>
                  <w:pPr>
                    <w:pStyle w:val="71"/>
                    <w:rPr>
                      <w:color w:val="auto"/>
                    </w:rPr>
                  </w:pPr>
                  <w:r>
                    <w:rPr>
                      <w:rFonts w:hint="eastAsia"/>
                      <w:color w:val="auto"/>
                    </w:rPr>
                    <w:t>项目五台燃气锅炉均设置低氮燃烧器，另外，本项目采取的氨法脱硫工艺，以3%稀氨水为脱硫剂，对氮氧化物有一定的脱除效率；建设单位应以烟气在线监测数据为依据，确保氮氧化物排放浓度连续稳定低于80毫克/立方米</w:t>
                  </w:r>
                </w:p>
              </w:tc>
              <w:tc>
                <w:tcPr>
                  <w:tcW w:w="863" w:type="dxa"/>
                  <w:vAlign w:val="center"/>
                </w:tcPr>
                <w:p>
                  <w:pPr>
                    <w:pStyle w:val="71"/>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c>
                <w:tcPr>
                  <w:tcW w:w="1000" w:type="dxa"/>
                  <w:vAlign w:val="center"/>
                </w:tcPr>
                <w:p>
                  <w:pPr>
                    <w:pStyle w:val="71"/>
                    <w:rPr>
                      <w:color w:val="auto"/>
                    </w:rPr>
                  </w:pPr>
                  <w:r>
                    <w:rPr>
                      <w:rFonts w:hint="eastAsia"/>
                      <w:color w:val="auto"/>
                    </w:rPr>
                    <w:t>全面实行排污许可管理</w:t>
                  </w:r>
                </w:p>
              </w:tc>
              <w:tc>
                <w:tcPr>
                  <w:tcW w:w="3248" w:type="dxa"/>
                  <w:vAlign w:val="center"/>
                </w:tcPr>
                <w:p>
                  <w:pPr>
                    <w:pStyle w:val="71"/>
                    <w:rPr>
                      <w:color w:val="auto"/>
                    </w:rPr>
                  </w:pPr>
                  <w:r>
                    <w:rPr>
                      <w:rFonts w:hint="eastAsia"/>
                      <w:color w:val="auto"/>
                    </w:rPr>
                    <w:t>到2020年，完成所有列入原环境保护部《固定源排污许可分类管理名录（2017年版）》固定源的排放许可证核发，未按国家要求取得排污许可整的，不得排放污染物，超标或超总量排污企业一律停产整治</w:t>
                  </w:r>
                </w:p>
              </w:tc>
              <w:tc>
                <w:tcPr>
                  <w:tcW w:w="3968" w:type="dxa"/>
                  <w:vAlign w:val="center"/>
                </w:tcPr>
                <w:p>
                  <w:pPr>
                    <w:pStyle w:val="71"/>
                    <w:rPr>
                      <w:color w:val="auto"/>
                    </w:rPr>
                  </w:pPr>
                  <w:r>
                    <w:rPr>
                      <w:rFonts w:hint="eastAsia"/>
                      <w:color w:val="auto"/>
                    </w:rPr>
                    <w:t>建设单位已于2018年6月11日填报并提交《排污许可申请表》（试行）</w:t>
                  </w:r>
                </w:p>
              </w:tc>
              <w:tc>
                <w:tcPr>
                  <w:tcW w:w="863" w:type="dxa"/>
                  <w:vAlign w:val="center"/>
                </w:tcPr>
                <w:p>
                  <w:pPr>
                    <w:pStyle w:val="71"/>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c>
                <w:tcPr>
                  <w:tcW w:w="1000" w:type="dxa"/>
                  <w:vAlign w:val="center"/>
                </w:tcPr>
                <w:p>
                  <w:pPr>
                    <w:pStyle w:val="71"/>
                    <w:rPr>
                      <w:color w:val="auto"/>
                    </w:rPr>
                  </w:pPr>
                  <w:r>
                    <w:rPr>
                      <w:rFonts w:hint="eastAsia"/>
                      <w:color w:val="auto"/>
                    </w:rPr>
                    <w:t>深化工业污染源监管</w:t>
                  </w:r>
                </w:p>
              </w:tc>
              <w:tc>
                <w:tcPr>
                  <w:tcW w:w="3248" w:type="dxa"/>
                  <w:vAlign w:val="center"/>
                </w:tcPr>
                <w:p>
                  <w:pPr>
                    <w:pStyle w:val="71"/>
                    <w:rPr>
                      <w:color w:val="auto"/>
                    </w:rPr>
                  </w:pPr>
                  <w:r>
                    <w:rPr>
                      <w:rFonts w:hint="eastAsia"/>
                      <w:color w:val="auto"/>
                    </w:rPr>
                    <w:t>将所有固定污染源纳入环境监管，对重点工业污染源全面安装烟气在线监控设施。严格落实《陕西省工业污染源全面达标和排放计划实施方案（2017-2020年）》，督导污染源企业履行社会责任，落实环保主题责任，确保污染防治设施正常运行，污染物排放稳定达标</w:t>
                  </w:r>
                </w:p>
              </w:tc>
              <w:tc>
                <w:tcPr>
                  <w:tcW w:w="3968" w:type="dxa"/>
                  <w:vAlign w:val="center"/>
                </w:tcPr>
                <w:p>
                  <w:pPr>
                    <w:pStyle w:val="71"/>
                    <w:rPr>
                      <w:color w:val="auto"/>
                    </w:rPr>
                  </w:pPr>
                  <w:r>
                    <w:rPr>
                      <w:rFonts w:hint="eastAsia"/>
                      <w:color w:val="auto"/>
                    </w:rPr>
                    <w:t>项目锅炉烟气3根烟囱排放口均已安装在线监测系统</w:t>
                  </w:r>
                </w:p>
              </w:tc>
              <w:tc>
                <w:tcPr>
                  <w:tcW w:w="863" w:type="dxa"/>
                  <w:vAlign w:val="center"/>
                </w:tcPr>
                <w:p>
                  <w:pPr>
                    <w:pStyle w:val="71"/>
                    <w:rPr>
                      <w:color w:val="auto"/>
                    </w:rPr>
                  </w:pPr>
                  <w:r>
                    <w:rPr>
                      <w:color w:val="auto"/>
                    </w:rPr>
                    <w:t>符合</w:t>
                  </w:r>
                </w:p>
              </w:tc>
            </w:tr>
          </w:tbl>
          <w:p>
            <w:pPr>
              <w:spacing w:line="360" w:lineRule="auto"/>
              <w:ind w:firstLine="482" w:firstLineChars="200"/>
              <w:rPr>
                <w:b/>
                <w:bCs/>
                <w:color w:val="auto"/>
                <w:sz w:val="24"/>
                <w:szCs w:val="24"/>
              </w:rPr>
            </w:pPr>
            <w:r>
              <w:rPr>
                <w:b/>
                <w:bCs/>
                <w:color w:val="auto"/>
                <w:sz w:val="24"/>
                <w:szCs w:val="24"/>
              </w:rPr>
              <w:t>三、</w:t>
            </w:r>
            <w:r>
              <w:rPr>
                <w:rFonts w:hint="eastAsia"/>
                <w:b/>
                <w:bCs/>
                <w:color w:val="auto"/>
                <w:sz w:val="24"/>
                <w:szCs w:val="24"/>
              </w:rPr>
              <w:t>相关规划符合性分析</w:t>
            </w:r>
          </w:p>
          <w:p>
            <w:pPr>
              <w:adjustRightInd w:val="0"/>
              <w:snapToGrid w:val="0"/>
              <w:spacing w:line="360" w:lineRule="auto"/>
              <w:ind w:firstLine="480" w:firstLineChars="200"/>
              <w:rPr>
                <w:color w:val="auto"/>
                <w:sz w:val="24"/>
              </w:rPr>
            </w:pPr>
            <w:r>
              <w:rPr>
                <w:rFonts w:hint="eastAsia"/>
                <w:color w:val="auto"/>
                <w:sz w:val="24"/>
              </w:rPr>
              <w:t>项目</w:t>
            </w:r>
            <w:r>
              <w:rPr>
                <w:color w:val="auto"/>
                <w:sz w:val="24"/>
              </w:rPr>
              <w:t>与《韩城市城市总体规划》</w:t>
            </w:r>
            <w:r>
              <w:rPr>
                <w:rFonts w:hint="eastAsia"/>
                <w:color w:val="auto"/>
                <w:sz w:val="24"/>
              </w:rPr>
              <w:t>（</w:t>
            </w:r>
            <w:r>
              <w:rPr>
                <w:color w:val="auto"/>
                <w:sz w:val="24"/>
              </w:rPr>
              <w:t>2013</w:t>
            </w:r>
            <w:r>
              <w:rPr>
                <w:rFonts w:hint="eastAsia"/>
                <w:color w:val="auto"/>
                <w:sz w:val="24"/>
              </w:rPr>
              <w:t>-</w:t>
            </w:r>
            <w:r>
              <w:rPr>
                <w:color w:val="auto"/>
                <w:sz w:val="24"/>
              </w:rPr>
              <w:t>2030年</w:t>
            </w:r>
            <w:r>
              <w:rPr>
                <w:rFonts w:hint="eastAsia"/>
                <w:color w:val="auto"/>
                <w:sz w:val="24"/>
              </w:rPr>
              <w:t>）、《韩城市环境保护“十三五”规划》及《韩城经济技术开发区总体规划》（</w:t>
            </w:r>
            <w:r>
              <w:rPr>
                <w:color w:val="auto"/>
                <w:sz w:val="24"/>
              </w:rPr>
              <w:t>2015-2030</w:t>
            </w:r>
            <w:r>
              <w:rPr>
                <w:rFonts w:hint="eastAsia"/>
                <w:color w:val="auto"/>
                <w:sz w:val="24"/>
              </w:rPr>
              <w:t>年）的</w:t>
            </w:r>
            <w:r>
              <w:rPr>
                <w:color w:val="auto"/>
                <w:sz w:val="24"/>
              </w:rPr>
              <w:t>符合性分析见表3</w:t>
            </w:r>
            <w:r>
              <w:rPr>
                <w:rFonts w:hint="eastAsia"/>
                <w:color w:val="auto"/>
                <w:sz w:val="24"/>
              </w:rPr>
              <w:t>。</w:t>
            </w:r>
          </w:p>
          <w:p>
            <w:pPr>
              <w:adjustRightInd w:val="0"/>
              <w:snapToGrid w:val="0"/>
              <w:spacing w:line="440" w:lineRule="exact"/>
              <w:jc w:val="center"/>
              <w:rPr>
                <w:b/>
                <w:color w:val="auto"/>
                <w:sz w:val="24"/>
              </w:rPr>
            </w:pPr>
            <w:r>
              <w:rPr>
                <w:rFonts w:hint="eastAsia"/>
                <w:b/>
                <w:color w:val="auto"/>
                <w:sz w:val="24"/>
              </w:rPr>
              <w:t>表</w:t>
            </w:r>
            <w:r>
              <w:rPr>
                <w:b/>
                <w:color w:val="auto"/>
                <w:sz w:val="24"/>
              </w:rPr>
              <w:t xml:space="preserve">3 </w:t>
            </w:r>
            <w:r>
              <w:rPr>
                <w:rFonts w:hint="eastAsia"/>
                <w:b/>
                <w:color w:val="auto"/>
                <w:sz w:val="24"/>
              </w:rPr>
              <w:t xml:space="preserve"> 项目</w:t>
            </w:r>
            <w:r>
              <w:rPr>
                <w:b/>
                <w:color w:val="auto"/>
                <w:sz w:val="24"/>
              </w:rPr>
              <w:t>与相关规划</w:t>
            </w:r>
            <w:r>
              <w:rPr>
                <w:rFonts w:hint="eastAsia"/>
                <w:b/>
                <w:color w:val="auto"/>
                <w:sz w:val="24"/>
              </w:rPr>
              <w:t>符合性</w:t>
            </w:r>
            <w:r>
              <w:rPr>
                <w:b/>
                <w:color w:val="auto"/>
                <w:sz w:val="24"/>
              </w:rPr>
              <w:t>分析</w:t>
            </w:r>
          </w:p>
          <w:tbl>
            <w:tblPr>
              <w:tblStyle w:val="26"/>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227"/>
              <w:gridCol w:w="3102"/>
              <w:gridCol w:w="2039"/>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 w:hRule="atLeast"/>
                <w:jc w:val="center"/>
              </w:trPr>
              <w:tc>
                <w:tcPr>
                  <w:tcW w:w="5911" w:type="dxa"/>
                  <w:gridSpan w:val="3"/>
                  <w:tcMar>
                    <w:left w:w="51" w:type="dxa"/>
                    <w:right w:w="51" w:type="dxa"/>
                  </w:tcMar>
                  <w:vAlign w:val="center"/>
                </w:tcPr>
                <w:p>
                  <w:pPr>
                    <w:jc w:val="center"/>
                    <w:rPr>
                      <w:rFonts w:eastAsiaTheme="minorEastAsia"/>
                      <w:b/>
                      <w:color w:val="auto"/>
                    </w:rPr>
                  </w:pPr>
                  <w:r>
                    <w:rPr>
                      <w:rStyle w:val="23"/>
                      <w:rFonts w:eastAsiaTheme="minorEastAsia"/>
                      <w:color w:val="auto"/>
                    </w:rPr>
                    <w:t>相关规划要求</w:t>
                  </w:r>
                </w:p>
              </w:tc>
              <w:tc>
                <w:tcPr>
                  <w:tcW w:w="2039" w:type="dxa"/>
                  <w:tcMar>
                    <w:left w:w="51" w:type="dxa"/>
                    <w:right w:w="51" w:type="dxa"/>
                  </w:tcMar>
                  <w:vAlign w:val="center"/>
                </w:tcPr>
                <w:p>
                  <w:pPr>
                    <w:pStyle w:val="9"/>
                    <w:adjustRightInd w:val="0"/>
                    <w:snapToGrid w:val="0"/>
                    <w:jc w:val="center"/>
                    <w:rPr>
                      <w:rFonts w:eastAsiaTheme="minorEastAsia"/>
                      <w:b/>
                      <w:color w:val="auto"/>
                      <w:sz w:val="21"/>
                      <w:szCs w:val="21"/>
                    </w:rPr>
                  </w:pPr>
                  <w:r>
                    <w:rPr>
                      <w:rFonts w:eastAsiaTheme="minorEastAsia"/>
                      <w:b/>
                      <w:color w:val="auto"/>
                      <w:sz w:val="21"/>
                      <w:szCs w:val="21"/>
                    </w:rPr>
                    <w:t>本项目</w:t>
                  </w:r>
                  <w:r>
                    <w:rPr>
                      <w:rFonts w:hint="eastAsia" w:eastAsiaTheme="minorEastAsia"/>
                      <w:b/>
                      <w:color w:val="auto"/>
                      <w:sz w:val="21"/>
                      <w:szCs w:val="21"/>
                    </w:rPr>
                    <w:t>情况</w:t>
                  </w:r>
                </w:p>
              </w:tc>
              <w:tc>
                <w:tcPr>
                  <w:tcW w:w="1111" w:type="dxa"/>
                  <w:tcMar>
                    <w:left w:w="51" w:type="dxa"/>
                    <w:right w:w="51" w:type="dxa"/>
                  </w:tcMar>
                  <w:vAlign w:val="center"/>
                </w:tcPr>
                <w:p>
                  <w:pPr>
                    <w:pStyle w:val="9"/>
                    <w:adjustRightInd w:val="0"/>
                    <w:snapToGrid w:val="0"/>
                    <w:jc w:val="center"/>
                    <w:rPr>
                      <w:rFonts w:eastAsiaTheme="minorEastAsia"/>
                      <w:b/>
                      <w:color w:val="auto"/>
                      <w:sz w:val="21"/>
                      <w:szCs w:val="21"/>
                    </w:rPr>
                  </w:pPr>
                  <w:r>
                    <w:rPr>
                      <w:rFonts w:hint="eastAsia" w:eastAsiaTheme="minorEastAsia"/>
                      <w:b/>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1582" w:type="dxa"/>
                  <w:tcMar>
                    <w:left w:w="51" w:type="dxa"/>
                    <w:right w:w="51" w:type="dxa"/>
                  </w:tcMar>
                  <w:vAlign w:val="center"/>
                </w:tcPr>
                <w:p>
                  <w:pPr>
                    <w:pStyle w:val="9"/>
                    <w:adjustRightInd w:val="0"/>
                    <w:snapToGrid w:val="0"/>
                    <w:jc w:val="center"/>
                    <w:rPr>
                      <w:rStyle w:val="23"/>
                      <w:rFonts w:eastAsiaTheme="minorEastAsia"/>
                      <w:color w:val="auto"/>
                      <w:sz w:val="21"/>
                      <w:szCs w:val="21"/>
                    </w:rPr>
                  </w:pPr>
                  <w:r>
                    <w:rPr>
                      <w:rFonts w:eastAsiaTheme="minorEastAsia"/>
                      <w:color w:val="auto"/>
                      <w:sz w:val="21"/>
                      <w:szCs w:val="21"/>
                    </w:rPr>
                    <w:t>《韩城市城市总体规划》（2013</w:t>
                  </w:r>
                  <w:r>
                    <w:rPr>
                      <w:rFonts w:hint="eastAsia" w:eastAsiaTheme="minorEastAsia"/>
                      <w:color w:val="auto"/>
                      <w:sz w:val="21"/>
                      <w:szCs w:val="21"/>
                    </w:rPr>
                    <w:t>-</w:t>
                  </w:r>
                  <w:r>
                    <w:rPr>
                      <w:rFonts w:eastAsiaTheme="minorEastAsia"/>
                      <w:color w:val="auto"/>
                      <w:sz w:val="21"/>
                      <w:szCs w:val="21"/>
                    </w:rPr>
                    <w:t>2030年）</w:t>
                  </w:r>
                </w:p>
              </w:tc>
              <w:tc>
                <w:tcPr>
                  <w:tcW w:w="1227" w:type="dxa"/>
                  <w:tcMar>
                    <w:left w:w="51" w:type="dxa"/>
                    <w:right w:w="51" w:type="dxa"/>
                  </w:tcMar>
                  <w:vAlign w:val="center"/>
                </w:tcPr>
                <w:p>
                  <w:pPr>
                    <w:pStyle w:val="9"/>
                    <w:adjustRightInd w:val="0"/>
                    <w:snapToGrid w:val="0"/>
                    <w:jc w:val="center"/>
                    <w:rPr>
                      <w:rFonts w:eastAsiaTheme="minorEastAsia"/>
                      <w:b/>
                      <w:color w:val="auto"/>
                      <w:sz w:val="21"/>
                      <w:szCs w:val="21"/>
                    </w:rPr>
                  </w:pPr>
                  <w:r>
                    <w:rPr>
                      <w:rFonts w:eastAsiaTheme="minorEastAsia"/>
                      <w:bCs/>
                      <w:color w:val="auto"/>
                      <w:sz w:val="21"/>
                      <w:szCs w:val="21"/>
                    </w:rPr>
                    <w:t>规划区城乡空间结构</w:t>
                  </w:r>
                </w:p>
              </w:tc>
              <w:tc>
                <w:tcPr>
                  <w:tcW w:w="3102" w:type="dxa"/>
                  <w:tcMar>
                    <w:left w:w="51" w:type="dxa"/>
                    <w:right w:w="51" w:type="dxa"/>
                  </w:tcMar>
                  <w:vAlign w:val="center"/>
                </w:tcPr>
                <w:p>
                  <w:pPr>
                    <w:pStyle w:val="9"/>
                    <w:adjustRightInd w:val="0"/>
                    <w:snapToGrid w:val="0"/>
                    <w:jc w:val="center"/>
                    <w:rPr>
                      <w:rFonts w:eastAsiaTheme="minorEastAsia"/>
                      <w:b/>
                      <w:color w:val="auto"/>
                      <w:sz w:val="21"/>
                      <w:szCs w:val="21"/>
                    </w:rPr>
                  </w:pPr>
                  <w:r>
                    <w:rPr>
                      <w:rFonts w:eastAsiaTheme="minorEastAsia"/>
                      <w:bCs/>
                      <w:color w:val="auto"/>
                      <w:sz w:val="21"/>
                      <w:szCs w:val="21"/>
                    </w:rPr>
                    <w:t>北翼（北工）：北部工业集中发展区。包括龙门经济技术开发区（含龙门镇区）及其可能的拓展地区。主要承担韩城传统产业升级、提升循环工业发展职能。</w:t>
                  </w:r>
                </w:p>
              </w:tc>
              <w:tc>
                <w:tcPr>
                  <w:tcW w:w="2039" w:type="dxa"/>
                  <w:tcMar>
                    <w:left w:w="51" w:type="dxa"/>
                    <w:right w:w="51" w:type="dxa"/>
                  </w:tcMar>
                  <w:vAlign w:val="center"/>
                </w:tcPr>
                <w:p>
                  <w:pPr>
                    <w:pStyle w:val="9"/>
                    <w:adjustRightInd w:val="0"/>
                    <w:snapToGrid w:val="0"/>
                    <w:jc w:val="center"/>
                    <w:rPr>
                      <w:rFonts w:eastAsiaTheme="minorEastAsia"/>
                      <w:bCs/>
                      <w:color w:val="auto"/>
                      <w:sz w:val="21"/>
                      <w:szCs w:val="21"/>
                    </w:rPr>
                  </w:pPr>
                  <w:r>
                    <w:rPr>
                      <w:rFonts w:hint="eastAsia" w:eastAsiaTheme="minorEastAsia"/>
                      <w:bCs/>
                      <w:color w:val="auto"/>
                      <w:sz w:val="21"/>
                      <w:szCs w:val="21"/>
                    </w:rPr>
                    <w:t>本项目位于韩城经济技术开发区，属韩城市城市总体规划中的北部工业集中发展区</w:t>
                  </w:r>
                </w:p>
              </w:tc>
              <w:tc>
                <w:tcPr>
                  <w:tcW w:w="1111" w:type="dxa"/>
                  <w:tcMar>
                    <w:left w:w="51" w:type="dxa"/>
                    <w:right w:w="51" w:type="dxa"/>
                  </w:tcMar>
                  <w:vAlign w:val="center"/>
                </w:tcPr>
                <w:p>
                  <w:pPr>
                    <w:pStyle w:val="9"/>
                    <w:adjustRightInd w:val="0"/>
                    <w:snapToGrid w:val="0"/>
                    <w:jc w:val="center"/>
                    <w:rPr>
                      <w:rFonts w:eastAsiaTheme="minorEastAsia"/>
                      <w:bCs/>
                      <w:color w:val="auto"/>
                      <w:sz w:val="21"/>
                      <w:szCs w:val="21"/>
                    </w:rPr>
                  </w:pPr>
                  <w:r>
                    <w:rPr>
                      <w:rFonts w:hint="eastAsia" w:eastAsiaTheme="minor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restart"/>
                  <w:tcMar>
                    <w:left w:w="51" w:type="dxa"/>
                    <w:right w:w="51" w:type="dxa"/>
                  </w:tcMar>
                  <w:vAlign w:val="center"/>
                </w:tcPr>
                <w:p>
                  <w:pPr>
                    <w:pStyle w:val="9"/>
                    <w:adjustRightInd w:val="0"/>
                    <w:snapToGrid w:val="0"/>
                    <w:jc w:val="center"/>
                    <w:rPr>
                      <w:rFonts w:eastAsiaTheme="minorEastAsia"/>
                      <w:color w:val="auto"/>
                      <w:sz w:val="21"/>
                      <w:szCs w:val="21"/>
                    </w:rPr>
                  </w:pPr>
                  <w:r>
                    <w:rPr>
                      <w:rFonts w:eastAsiaTheme="minorEastAsia"/>
                      <w:color w:val="auto"/>
                      <w:sz w:val="21"/>
                      <w:szCs w:val="21"/>
                    </w:rPr>
                    <w:t>《韩城市环境保护“十三五”规划》</w:t>
                  </w:r>
                </w:p>
              </w:tc>
              <w:tc>
                <w:tcPr>
                  <w:tcW w:w="1227" w:type="dxa"/>
                  <w:tcMar>
                    <w:left w:w="51" w:type="dxa"/>
                    <w:right w:w="51" w:type="dxa"/>
                  </w:tcMar>
                  <w:vAlign w:val="center"/>
                </w:tcPr>
                <w:p>
                  <w:pPr>
                    <w:pStyle w:val="9"/>
                    <w:adjustRightInd w:val="0"/>
                    <w:snapToGrid w:val="0"/>
                    <w:jc w:val="center"/>
                    <w:rPr>
                      <w:rStyle w:val="23"/>
                      <w:rFonts w:eastAsiaTheme="minorEastAsia"/>
                      <w:b w:val="0"/>
                      <w:color w:val="auto"/>
                      <w:sz w:val="21"/>
                      <w:szCs w:val="21"/>
                    </w:rPr>
                  </w:pPr>
                  <w:r>
                    <w:rPr>
                      <w:rStyle w:val="23"/>
                      <w:rFonts w:eastAsiaTheme="minorEastAsia"/>
                      <w:b w:val="0"/>
                      <w:color w:val="auto"/>
                      <w:sz w:val="21"/>
                      <w:szCs w:val="21"/>
                    </w:rPr>
                    <w:t>坚持节能减排，促进发展</w:t>
                  </w:r>
                </w:p>
              </w:tc>
              <w:tc>
                <w:tcPr>
                  <w:tcW w:w="3102" w:type="dxa"/>
                  <w:tcMar>
                    <w:left w:w="51" w:type="dxa"/>
                    <w:right w:w="51" w:type="dxa"/>
                  </w:tcMar>
                  <w:vAlign w:val="center"/>
                </w:tcPr>
                <w:p>
                  <w:pPr>
                    <w:pStyle w:val="9"/>
                    <w:adjustRightInd w:val="0"/>
                    <w:snapToGrid w:val="0"/>
                    <w:jc w:val="center"/>
                    <w:rPr>
                      <w:rFonts w:eastAsiaTheme="minorEastAsia"/>
                      <w:b/>
                      <w:color w:val="auto"/>
                      <w:sz w:val="21"/>
                      <w:szCs w:val="21"/>
                    </w:rPr>
                  </w:pPr>
                  <w:r>
                    <w:rPr>
                      <w:rFonts w:eastAsiaTheme="minorEastAsia"/>
                      <w:bCs/>
                      <w:color w:val="auto"/>
                      <w:sz w:val="21"/>
                      <w:szCs w:val="21"/>
                    </w:rPr>
                    <w:t>实施创新驱动，强化科技支撑，推进经济绿色转型和低碳循环发展，大力降低资源能源消费量、污染物产生量、污染物排放量。</w:t>
                  </w:r>
                </w:p>
              </w:tc>
              <w:tc>
                <w:tcPr>
                  <w:tcW w:w="2039" w:type="dxa"/>
                  <w:tcMar>
                    <w:left w:w="51" w:type="dxa"/>
                    <w:right w:w="51" w:type="dxa"/>
                  </w:tcMar>
                  <w:vAlign w:val="center"/>
                </w:tcPr>
                <w:p>
                  <w:pPr>
                    <w:pStyle w:val="9"/>
                    <w:adjustRightInd w:val="0"/>
                    <w:snapToGrid w:val="0"/>
                    <w:jc w:val="center"/>
                    <w:rPr>
                      <w:rFonts w:eastAsiaTheme="minorEastAsia"/>
                      <w:color w:val="auto"/>
                      <w:sz w:val="21"/>
                      <w:szCs w:val="21"/>
                    </w:rPr>
                  </w:pPr>
                  <w:r>
                    <w:rPr>
                      <w:rFonts w:eastAsiaTheme="minorEastAsia"/>
                      <w:color w:val="auto"/>
                      <w:sz w:val="21"/>
                      <w:szCs w:val="21"/>
                    </w:rPr>
                    <w:t>本项目</w:t>
                  </w:r>
                  <w:r>
                    <w:rPr>
                      <w:rFonts w:hint="eastAsia" w:eastAsiaTheme="minorEastAsia"/>
                      <w:color w:val="auto"/>
                      <w:sz w:val="21"/>
                      <w:szCs w:val="21"/>
                    </w:rPr>
                    <w:t>在利用龙钢富裕高炉煤气进行发电、实现综合利用的基础上，新建锅炉烟气脱硫除尘系统，可有效削减污染物产生量及排放量</w:t>
                  </w:r>
                </w:p>
              </w:tc>
              <w:tc>
                <w:tcPr>
                  <w:tcW w:w="1111" w:type="dxa"/>
                  <w:tcMar>
                    <w:left w:w="51" w:type="dxa"/>
                    <w:right w:w="51" w:type="dxa"/>
                  </w:tcMar>
                  <w:vAlign w:val="center"/>
                </w:tcPr>
                <w:p>
                  <w:pPr>
                    <w:pStyle w:val="9"/>
                    <w:adjustRightInd w:val="0"/>
                    <w:snapToGrid w:val="0"/>
                    <w:jc w:val="center"/>
                    <w:rPr>
                      <w:rFonts w:eastAsiaTheme="minorEastAsia"/>
                      <w:color w:val="auto"/>
                      <w:sz w:val="21"/>
                      <w:szCs w:val="21"/>
                    </w:rPr>
                  </w:pPr>
                  <w:r>
                    <w:rPr>
                      <w:rFonts w:hint="eastAsia"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0" w:hRule="atLeast"/>
                <w:jc w:val="center"/>
              </w:trPr>
              <w:tc>
                <w:tcPr>
                  <w:tcW w:w="1582" w:type="dxa"/>
                  <w:vMerge w:val="continue"/>
                  <w:tcMar>
                    <w:left w:w="51" w:type="dxa"/>
                    <w:right w:w="51" w:type="dxa"/>
                  </w:tcMar>
                  <w:vAlign w:val="center"/>
                </w:tcPr>
                <w:p>
                  <w:pPr>
                    <w:pStyle w:val="9"/>
                    <w:adjustRightInd w:val="0"/>
                    <w:snapToGrid w:val="0"/>
                    <w:jc w:val="center"/>
                    <w:rPr>
                      <w:rFonts w:eastAsiaTheme="minorEastAsia"/>
                      <w:color w:val="auto"/>
                      <w:sz w:val="21"/>
                      <w:szCs w:val="21"/>
                    </w:rPr>
                  </w:pPr>
                </w:p>
              </w:tc>
              <w:tc>
                <w:tcPr>
                  <w:tcW w:w="1227" w:type="dxa"/>
                  <w:tcMar>
                    <w:left w:w="51" w:type="dxa"/>
                    <w:right w:w="51" w:type="dxa"/>
                  </w:tcMar>
                  <w:vAlign w:val="center"/>
                </w:tcPr>
                <w:p>
                  <w:pPr>
                    <w:pStyle w:val="9"/>
                    <w:adjustRightInd w:val="0"/>
                    <w:snapToGrid w:val="0"/>
                    <w:jc w:val="center"/>
                    <w:rPr>
                      <w:rFonts w:eastAsiaTheme="minorEastAsia"/>
                      <w:color w:val="auto"/>
                      <w:sz w:val="21"/>
                      <w:szCs w:val="21"/>
                    </w:rPr>
                  </w:pPr>
                  <w:r>
                    <w:rPr>
                      <w:rFonts w:eastAsiaTheme="minorEastAsia"/>
                      <w:color w:val="auto"/>
                      <w:sz w:val="21"/>
                      <w:szCs w:val="21"/>
                    </w:rPr>
                    <w:t>加强大气污染控制</w:t>
                  </w:r>
                </w:p>
              </w:tc>
              <w:tc>
                <w:tcPr>
                  <w:tcW w:w="3102" w:type="dxa"/>
                  <w:tcMar>
                    <w:left w:w="51" w:type="dxa"/>
                    <w:right w:w="51" w:type="dxa"/>
                  </w:tcMar>
                  <w:vAlign w:val="center"/>
                </w:tcPr>
                <w:p>
                  <w:pPr>
                    <w:pStyle w:val="9"/>
                    <w:adjustRightInd w:val="0"/>
                    <w:jc w:val="center"/>
                    <w:rPr>
                      <w:rFonts w:eastAsiaTheme="minorEastAsia"/>
                      <w:bCs/>
                      <w:color w:val="auto"/>
                      <w:sz w:val="21"/>
                      <w:szCs w:val="21"/>
                    </w:rPr>
                  </w:pPr>
                  <w:r>
                    <w:rPr>
                      <w:rFonts w:eastAsiaTheme="minorEastAsia"/>
                      <w:bCs/>
                      <w:color w:val="auto"/>
                      <w:sz w:val="21"/>
                      <w:szCs w:val="21"/>
                    </w:rPr>
                    <w:t>钢铁、煤炭、煤化工等重点行业要加快生产工艺和治污设施提升改造，达到《关中地区重点行业大气污染物排放限值》标准，加强监管，完善在线监测系统，实时监控，严禁生产过程中的跑、冒、滴、漏，确保达标排放，实现厂区周边空气无异味、无粉尘。</w:t>
                  </w:r>
                </w:p>
              </w:tc>
              <w:tc>
                <w:tcPr>
                  <w:tcW w:w="2039" w:type="dxa"/>
                  <w:tcMar>
                    <w:left w:w="51" w:type="dxa"/>
                    <w:right w:w="51" w:type="dxa"/>
                  </w:tcMar>
                  <w:vAlign w:val="center"/>
                </w:tcPr>
                <w:p>
                  <w:pPr>
                    <w:pStyle w:val="9"/>
                    <w:adjustRightInd w:val="0"/>
                    <w:snapToGrid w:val="0"/>
                    <w:jc w:val="center"/>
                    <w:rPr>
                      <w:rFonts w:eastAsiaTheme="minorEastAsia"/>
                      <w:color w:val="auto"/>
                      <w:sz w:val="21"/>
                      <w:szCs w:val="21"/>
                    </w:rPr>
                  </w:pPr>
                  <w:r>
                    <w:rPr>
                      <w:rFonts w:eastAsiaTheme="minorEastAsia"/>
                      <w:color w:val="auto"/>
                      <w:sz w:val="21"/>
                      <w:szCs w:val="21"/>
                    </w:rPr>
                    <w:t>本项目</w:t>
                  </w:r>
                  <w:r>
                    <w:rPr>
                      <w:rFonts w:hint="eastAsia" w:eastAsiaTheme="minorEastAsia"/>
                      <w:color w:val="auto"/>
                      <w:sz w:val="21"/>
                      <w:szCs w:val="21"/>
                    </w:rPr>
                    <w:t>新建锅炉烟气脱硫除尘系统并安装在线监测系统，烟气经处理后可满足</w:t>
                  </w:r>
                  <w:r>
                    <w:rPr>
                      <w:rFonts w:eastAsiaTheme="minorEastAsia"/>
                      <w:bCs/>
                      <w:color w:val="auto"/>
                      <w:sz w:val="21"/>
                      <w:szCs w:val="21"/>
                    </w:rPr>
                    <w:t>《关中地区重点行业大气污染物排放限值》</w:t>
                  </w:r>
                  <w:r>
                    <w:rPr>
                      <w:rFonts w:hint="eastAsia" w:eastAsiaTheme="minorEastAsia"/>
                      <w:bCs/>
                      <w:color w:val="auto"/>
                      <w:sz w:val="21"/>
                      <w:szCs w:val="21"/>
                    </w:rPr>
                    <w:t>表1标准限值，</w:t>
                  </w:r>
                  <w:r>
                    <w:rPr>
                      <w:rFonts w:hint="eastAsia" w:eastAsiaTheme="minorEastAsia"/>
                      <w:color w:val="auto"/>
                      <w:sz w:val="21"/>
                      <w:szCs w:val="21"/>
                    </w:rPr>
                    <w:t>可有效减少颗粒物、二氧化硫及氮氧化物排放</w:t>
                  </w:r>
                </w:p>
              </w:tc>
              <w:tc>
                <w:tcPr>
                  <w:tcW w:w="1111" w:type="dxa"/>
                  <w:tcMar>
                    <w:left w:w="51" w:type="dxa"/>
                    <w:right w:w="51" w:type="dxa"/>
                  </w:tcMar>
                  <w:vAlign w:val="center"/>
                </w:tcPr>
                <w:p>
                  <w:pPr>
                    <w:pStyle w:val="9"/>
                    <w:adjustRightInd w:val="0"/>
                    <w:snapToGrid w:val="0"/>
                    <w:jc w:val="center"/>
                    <w:rPr>
                      <w:rFonts w:eastAsiaTheme="minorEastAsia"/>
                      <w:color w:val="auto"/>
                      <w:sz w:val="21"/>
                      <w:szCs w:val="21"/>
                    </w:rPr>
                  </w:pPr>
                  <w:r>
                    <w:rPr>
                      <w:rFonts w:hint="eastAsia"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restart"/>
                  <w:tcMar>
                    <w:left w:w="51" w:type="dxa"/>
                    <w:right w:w="51" w:type="dxa"/>
                  </w:tcMar>
                  <w:vAlign w:val="center"/>
                </w:tcPr>
                <w:p>
                  <w:pPr>
                    <w:pStyle w:val="9"/>
                    <w:adjustRightInd w:val="0"/>
                    <w:snapToGrid w:val="0"/>
                    <w:jc w:val="center"/>
                    <w:rPr>
                      <w:rFonts w:eastAsiaTheme="minorEastAsia"/>
                      <w:color w:val="auto"/>
                      <w:sz w:val="21"/>
                      <w:szCs w:val="21"/>
                    </w:rPr>
                  </w:pPr>
                  <w:r>
                    <w:rPr>
                      <w:rFonts w:eastAsiaTheme="minorEastAsia"/>
                      <w:color w:val="auto"/>
                      <w:sz w:val="21"/>
                      <w:szCs w:val="21"/>
                    </w:rPr>
                    <w:t>《韩城经济技术开发区总体规划》（2015-2030年）</w:t>
                  </w:r>
                </w:p>
              </w:tc>
              <w:tc>
                <w:tcPr>
                  <w:tcW w:w="1227" w:type="dxa"/>
                  <w:tcMar>
                    <w:left w:w="51" w:type="dxa"/>
                    <w:right w:w="51" w:type="dxa"/>
                  </w:tcMar>
                  <w:vAlign w:val="center"/>
                </w:tcPr>
                <w:p>
                  <w:pPr>
                    <w:pStyle w:val="9"/>
                    <w:adjustRightInd w:val="0"/>
                    <w:jc w:val="center"/>
                    <w:rPr>
                      <w:rFonts w:eastAsiaTheme="minorEastAsia"/>
                      <w:bCs/>
                      <w:color w:val="auto"/>
                      <w:sz w:val="21"/>
                      <w:szCs w:val="21"/>
                    </w:rPr>
                  </w:pPr>
                  <w:r>
                    <w:rPr>
                      <w:rFonts w:hint="eastAsia" w:eastAsiaTheme="minorEastAsia"/>
                      <w:bCs/>
                      <w:color w:val="auto"/>
                      <w:sz w:val="21"/>
                      <w:szCs w:val="21"/>
                    </w:rPr>
                    <w:t>功能分区</w:t>
                  </w:r>
                </w:p>
              </w:tc>
              <w:tc>
                <w:tcPr>
                  <w:tcW w:w="3102" w:type="dxa"/>
                  <w:tcMar>
                    <w:left w:w="51" w:type="dxa"/>
                    <w:right w:w="51" w:type="dxa"/>
                  </w:tcMar>
                  <w:vAlign w:val="center"/>
                </w:tcPr>
                <w:p>
                  <w:pPr>
                    <w:pStyle w:val="9"/>
                    <w:adjustRightInd w:val="0"/>
                    <w:jc w:val="center"/>
                    <w:rPr>
                      <w:rFonts w:eastAsiaTheme="minorEastAsia"/>
                      <w:bCs/>
                      <w:color w:val="auto"/>
                      <w:sz w:val="21"/>
                      <w:szCs w:val="21"/>
                    </w:rPr>
                  </w:pPr>
                  <w:r>
                    <w:rPr>
                      <w:rFonts w:eastAsiaTheme="minorEastAsia"/>
                      <w:color w:val="auto"/>
                      <w:sz w:val="21"/>
                      <w:szCs w:val="21"/>
                    </w:rPr>
                    <w:t>规划形成四大产业区：龙门产业区、西塬产业区、西昝产业区、新型工业区</w:t>
                  </w:r>
                </w:p>
              </w:tc>
              <w:tc>
                <w:tcPr>
                  <w:tcW w:w="2039" w:type="dxa"/>
                  <w:tcMar>
                    <w:left w:w="51" w:type="dxa"/>
                    <w:right w:w="51" w:type="dxa"/>
                  </w:tcMar>
                  <w:vAlign w:val="center"/>
                </w:tcPr>
                <w:p>
                  <w:pPr>
                    <w:pStyle w:val="9"/>
                    <w:adjustRightInd w:val="0"/>
                    <w:snapToGrid w:val="0"/>
                    <w:jc w:val="center"/>
                    <w:rPr>
                      <w:rFonts w:eastAsiaTheme="minorEastAsia"/>
                      <w:color w:val="auto"/>
                      <w:sz w:val="21"/>
                      <w:szCs w:val="21"/>
                    </w:rPr>
                  </w:pPr>
                  <w:r>
                    <w:rPr>
                      <w:rFonts w:eastAsiaTheme="minorEastAsia"/>
                      <w:color w:val="auto"/>
                      <w:sz w:val="21"/>
                      <w:szCs w:val="21"/>
                    </w:rPr>
                    <w:t>本项目位于龙门产业区内，用地性质为工业用地</w:t>
                  </w:r>
                </w:p>
              </w:tc>
              <w:tc>
                <w:tcPr>
                  <w:tcW w:w="1111" w:type="dxa"/>
                  <w:tcMar>
                    <w:left w:w="51" w:type="dxa"/>
                    <w:right w:w="51" w:type="dxa"/>
                  </w:tcMar>
                  <w:vAlign w:val="center"/>
                </w:tcPr>
                <w:p>
                  <w:pPr>
                    <w:pStyle w:val="9"/>
                    <w:adjustRightInd w:val="0"/>
                    <w:snapToGrid w:val="0"/>
                    <w:jc w:val="center"/>
                    <w:rPr>
                      <w:rFonts w:eastAsiaTheme="minorEastAsia"/>
                      <w:color w:val="auto"/>
                      <w:sz w:val="21"/>
                      <w:szCs w:val="21"/>
                    </w:rPr>
                  </w:pPr>
                  <w:r>
                    <w:rPr>
                      <w:rFonts w:hint="eastAsia"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continue"/>
                  <w:tcMar>
                    <w:left w:w="51" w:type="dxa"/>
                    <w:right w:w="51" w:type="dxa"/>
                  </w:tcMar>
                  <w:vAlign w:val="center"/>
                </w:tcPr>
                <w:p>
                  <w:pPr>
                    <w:pStyle w:val="9"/>
                    <w:adjustRightInd w:val="0"/>
                    <w:snapToGrid w:val="0"/>
                    <w:jc w:val="center"/>
                    <w:rPr>
                      <w:rFonts w:eastAsiaTheme="minorEastAsia"/>
                      <w:color w:val="auto"/>
                      <w:sz w:val="21"/>
                      <w:szCs w:val="21"/>
                    </w:rPr>
                  </w:pPr>
                </w:p>
              </w:tc>
              <w:tc>
                <w:tcPr>
                  <w:tcW w:w="1227" w:type="dxa"/>
                  <w:tcMar>
                    <w:left w:w="51" w:type="dxa"/>
                    <w:right w:w="51" w:type="dxa"/>
                  </w:tcMar>
                  <w:vAlign w:val="center"/>
                </w:tcPr>
                <w:p>
                  <w:pPr>
                    <w:pStyle w:val="9"/>
                    <w:adjustRightInd w:val="0"/>
                    <w:jc w:val="center"/>
                    <w:rPr>
                      <w:rFonts w:eastAsiaTheme="minorEastAsia"/>
                      <w:bCs/>
                      <w:color w:val="auto"/>
                      <w:sz w:val="21"/>
                      <w:szCs w:val="21"/>
                    </w:rPr>
                  </w:pPr>
                  <w:r>
                    <w:rPr>
                      <w:rFonts w:hint="eastAsia" w:eastAsiaTheme="minorEastAsia"/>
                      <w:bCs/>
                      <w:color w:val="auto"/>
                      <w:sz w:val="21"/>
                      <w:szCs w:val="21"/>
                    </w:rPr>
                    <w:t>产业定位</w:t>
                  </w:r>
                </w:p>
              </w:tc>
              <w:tc>
                <w:tcPr>
                  <w:tcW w:w="3102" w:type="dxa"/>
                  <w:tcMar>
                    <w:left w:w="51" w:type="dxa"/>
                    <w:right w:w="51" w:type="dxa"/>
                  </w:tcMar>
                  <w:vAlign w:val="center"/>
                </w:tcPr>
                <w:p>
                  <w:pPr>
                    <w:pStyle w:val="9"/>
                    <w:adjustRightInd w:val="0"/>
                    <w:jc w:val="center"/>
                    <w:rPr>
                      <w:rFonts w:eastAsiaTheme="minorEastAsia"/>
                      <w:bCs/>
                      <w:color w:val="auto"/>
                      <w:sz w:val="21"/>
                      <w:szCs w:val="21"/>
                    </w:rPr>
                  </w:pPr>
                  <w:r>
                    <w:rPr>
                      <w:rFonts w:hint="eastAsia" w:eastAsiaTheme="minorEastAsia"/>
                      <w:bCs/>
                      <w:color w:val="auto"/>
                      <w:sz w:val="21"/>
                      <w:szCs w:val="21"/>
                    </w:rPr>
                    <w:t>能源煤化工产业规划：规划能源化工产业分北、中、南三部分予以布局。北部能源煤化产业主要布置在钢铁产业园南部，与龙钢形成炼钢—高炉煤气—发电（轧钢、烧结）循环产业链；中部能源煤化产业……</w:t>
                  </w:r>
                </w:p>
              </w:tc>
              <w:tc>
                <w:tcPr>
                  <w:tcW w:w="2039" w:type="dxa"/>
                  <w:tcMar>
                    <w:left w:w="51" w:type="dxa"/>
                    <w:right w:w="51" w:type="dxa"/>
                  </w:tcMar>
                  <w:vAlign w:val="center"/>
                </w:tcPr>
                <w:p>
                  <w:pPr>
                    <w:pStyle w:val="9"/>
                    <w:adjustRightInd w:val="0"/>
                    <w:snapToGrid w:val="0"/>
                    <w:jc w:val="center"/>
                    <w:rPr>
                      <w:rFonts w:eastAsiaTheme="minorEastAsia"/>
                      <w:color w:val="auto"/>
                      <w:sz w:val="21"/>
                      <w:szCs w:val="21"/>
                    </w:rPr>
                  </w:pPr>
                  <w:r>
                    <w:rPr>
                      <w:rFonts w:hint="eastAsia" w:eastAsiaTheme="minorEastAsia"/>
                      <w:color w:val="auto"/>
                      <w:sz w:val="21"/>
                      <w:szCs w:val="21"/>
                    </w:rPr>
                    <w:t>本项目位于北部能源化工产业去区，属</w:t>
                  </w:r>
                  <w:r>
                    <w:rPr>
                      <w:rFonts w:hint="eastAsia" w:eastAsiaTheme="minorEastAsia"/>
                      <w:bCs/>
                      <w:color w:val="auto"/>
                      <w:sz w:val="21"/>
                      <w:szCs w:val="21"/>
                    </w:rPr>
                    <w:t>炼钢—高炉煤气—发电循环产业链中的发电环节，符合规划产业发展定位</w:t>
                  </w:r>
                </w:p>
              </w:tc>
              <w:tc>
                <w:tcPr>
                  <w:tcW w:w="1111" w:type="dxa"/>
                  <w:tcMar>
                    <w:left w:w="51" w:type="dxa"/>
                    <w:right w:w="51" w:type="dxa"/>
                  </w:tcMar>
                  <w:vAlign w:val="center"/>
                </w:tcPr>
                <w:p>
                  <w:pPr>
                    <w:pStyle w:val="9"/>
                    <w:adjustRightInd w:val="0"/>
                    <w:snapToGrid w:val="0"/>
                    <w:jc w:val="center"/>
                    <w:rPr>
                      <w:rFonts w:eastAsiaTheme="minorEastAsia"/>
                      <w:color w:val="auto"/>
                      <w:sz w:val="21"/>
                      <w:szCs w:val="21"/>
                    </w:rPr>
                  </w:pPr>
                  <w:r>
                    <w:rPr>
                      <w:rFonts w:hint="eastAsia"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continue"/>
                  <w:tcMar>
                    <w:left w:w="51" w:type="dxa"/>
                    <w:right w:w="51" w:type="dxa"/>
                  </w:tcMar>
                  <w:vAlign w:val="center"/>
                </w:tcPr>
                <w:p>
                  <w:pPr>
                    <w:pStyle w:val="9"/>
                    <w:adjustRightInd w:val="0"/>
                    <w:snapToGrid w:val="0"/>
                    <w:jc w:val="center"/>
                    <w:rPr>
                      <w:rFonts w:eastAsiaTheme="minorEastAsia"/>
                      <w:color w:val="auto"/>
                      <w:sz w:val="21"/>
                      <w:szCs w:val="21"/>
                    </w:rPr>
                  </w:pPr>
                </w:p>
              </w:tc>
              <w:tc>
                <w:tcPr>
                  <w:tcW w:w="1227" w:type="dxa"/>
                  <w:tcMar>
                    <w:left w:w="51" w:type="dxa"/>
                    <w:right w:w="51" w:type="dxa"/>
                  </w:tcMar>
                  <w:vAlign w:val="center"/>
                </w:tcPr>
                <w:p>
                  <w:pPr>
                    <w:pStyle w:val="9"/>
                    <w:adjustRightInd w:val="0"/>
                    <w:jc w:val="center"/>
                    <w:rPr>
                      <w:rFonts w:eastAsiaTheme="minorEastAsia"/>
                      <w:bCs/>
                      <w:color w:val="auto"/>
                      <w:sz w:val="21"/>
                      <w:szCs w:val="21"/>
                    </w:rPr>
                  </w:pPr>
                  <w:r>
                    <w:rPr>
                      <w:rFonts w:hint="eastAsia" w:eastAsiaTheme="minorEastAsia"/>
                      <w:bCs/>
                      <w:color w:val="auto"/>
                      <w:sz w:val="21"/>
                      <w:szCs w:val="21"/>
                    </w:rPr>
                    <w:t>规划四区空间管制</w:t>
                  </w:r>
                </w:p>
              </w:tc>
              <w:tc>
                <w:tcPr>
                  <w:tcW w:w="3102" w:type="dxa"/>
                  <w:tcMar>
                    <w:left w:w="51" w:type="dxa"/>
                    <w:right w:w="51" w:type="dxa"/>
                  </w:tcMar>
                  <w:vAlign w:val="center"/>
                </w:tcPr>
                <w:p>
                  <w:pPr>
                    <w:pStyle w:val="9"/>
                    <w:adjustRightInd w:val="0"/>
                    <w:jc w:val="center"/>
                    <w:rPr>
                      <w:rFonts w:eastAsiaTheme="minorEastAsia"/>
                      <w:bCs/>
                      <w:color w:val="auto"/>
                      <w:sz w:val="21"/>
                      <w:szCs w:val="21"/>
                    </w:rPr>
                  </w:pPr>
                  <w:r>
                    <w:rPr>
                      <w:rFonts w:hint="eastAsia" w:eastAsiaTheme="minorEastAsia"/>
                      <w:b/>
                      <w:bCs/>
                      <w:color w:val="auto"/>
                      <w:sz w:val="21"/>
                      <w:szCs w:val="21"/>
                    </w:rPr>
                    <w:t>禁止建设区</w:t>
                  </w:r>
                  <w:r>
                    <w:rPr>
                      <w:rFonts w:hint="eastAsia" w:eastAsiaTheme="minorEastAsia"/>
                      <w:bCs/>
                      <w:color w:val="auto"/>
                      <w:sz w:val="21"/>
                      <w:szCs w:val="21"/>
                    </w:rPr>
                    <w:t>：包括黄河湿地自然保护区核心区和缓冲区、境内黄河一级支流水域、基本农田、文物保护单位和历史文化名村的核心保护范围；</w:t>
                  </w:r>
                </w:p>
                <w:p>
                  <w:pPr>
                    <w:pStyle w:val="9"/>
                    <w:adjustRightInd w:val="0"/>
                    <w:jc w:val="center"/>
                    <w:rPr>
                      <w:color w:val="auto"/>
                      <w:sz w:val="21"/>
                      <w:szCs w:val="21"/>
                    </w:rPr>
                  </w:pPr>
                  <w:r>
                    <w:rPr>
                      <w:rFonts w:hint="eastAsia"/>
                      <w:b/>
                      <w:color w:val="auto"/>
                      <w:sz w:val="21"/>
                      <w:szCs w:val="21"/>
                    </w:rPr>
                    <w:t>限制建设区</w:t>
                  </w:r>
                  <w:r>
                    <w:rPr>
                      <w:rFonts w:hint="eastAsia"/>
                      <w:color w:val="auto"/>
                      <w:sz w:val="21"/>
                      <w:szCs w:val="21"/>
                    </w:rPr>
                    <w:t>：包括黄河湿地自然保护区实验区、地震断裂带、北林工程的大片集中林地、黄河一级支流两侧生态防护地带、历史文化名村和文物保护单位的建设控制地带、一般耕地、重大交通、能源、电力、通讯走廊和区域水资源配置通道；</w:t>
                  </w:r>
                </w:p>
                <w:p>
                  <w:pPr>
                    <w:pStyle w:val="9"/>
                    <w:adjustRightInd w:val="0"/>
                    <w:jc w:val="center"/>
                    <w:rPr>
                      <w:rFonts w:eastAsiaTheme="minorEastAsia"/>
                      <w:bCs/>
                      <w:color w:val="auto"/>
                      <w:sz w:val="21"/>
                      <w:szCs w:val="21"/>
                    </w:rPr>
                  </w:pPr>
                  <w:r>
                    <w:rPr>
                      <w:rFonts w:hint="eastAsia"/>
                      <w:b/>
                      <w:color w:val="auto"/>
                      <w:sz w:val="21"/>
                      <w:szCs w:val="21"/>
                    </w:rPr>
                    <w:t>适宜建设区</w:t>
                  </w:r>
                  <w:r>
                    <w:rPr>
                      <w:rFonts w:hint="eastAsia"/>
                      <w:color w:val="auto"/>
                      <w:sz w:val="21"/>
                      <w:szCs w:val="21"/>
                    </w:rPr>
                    <w:t>：是规划区发展的重点建设地区，包括龙门镇、西庄镇以及独立的工业园区等规划建设用地。</w:t>
                  </w:r>
                </w:p>
              </w:tc>
              <w:tc>
                <w:tcPr>
                  <w:tcW w:w="2039" w:type="dxa"/>
                  <w:tcMar>
                    <w:left w:w="51" w:type="dxa"/>
                    <w:right w:w="51" w:type="dxa"/>
                  </w:tcMar>
                  <w:vAlign w:val="center"/>
                </w:tcPr>
                <w:p>
                  <w:pPr>
                    <w:pStyle w:val="9"/>
                    <w:adjustRightInd w:val="0"/>
                    <w:snapToGrid w:val="0"/>
                    <w:jc w:val="center"/>
                    <w:rPr>
                      <w:rFonts w:eastAsiaTheme="minorEastAsia"/>
                      <w:color w:val="auto"/>
                      <w:sz w:val="21"/>
                      <w:szCs w:val="21"/>
                    </w:rPr>
                  </w:pPr>
                  <w:r>
                    <w:rPr>
                      <w:rFonts w:hint="eastAsia" w:eastAsiaTheme="minorEastAsia"/>
                      <w:color w:val="auto"/>
                      <w:sz w:val="21"/>
                      <w:szCs w:val="21"/>
                    </w:rPr>
                    <w:t>本项目位于适宜建设区，不涉及自然保护区、风景名胜区、饮用水水源保护区等敏感区域，距离陕西省黄河湿地自然保护区实验区最近距离1km</w:t>
                  </w:r>
                </w:p>
              </w:tc>
              <w:tc>
                <w:tcPr>
                  <w:tcW w:w="1111" w:type="dxa"/>
                  <w:tcMar>
                    <w:left w:w="51" w:type="dxa"/>
                    <w:right w:w="51" w:type="dxa"/>
                  </w:tcMar>
                  <w:vAlign w:val="center"/>
                </w:tcPr>
                <w:p>
                  <w:pPr>
                    <w:pStyle w:val="9"/>
                    <w:adjustRightInd w:val="0"/>
                    <w:snapToGrid w:val="0"/>
                    <w:jc w:val="center"/>
                    <w:rPr>
                      <w:rFonts w:eastAsiaTheme="minorEastAsia"/>
                      <w:color w:val="auto"/>
                      <w:sz w:val="21"/>
                      <w:szCs w:val="21"/>
                    </w:rPr>
                  </w:pPr>
                  <w:r>
                    <w:rPr>
                      <w:rFonts w:hint="eastAsia" w:eastAsiaTheme="minorEastAsia"/>
                      <w:color w:val="auto"/>
                      <w:sz w:val="21"/>
                      <w:szCs w:val="21"/>
                    </w:rPr>
                    <w:t>符合</w:t>
                  </w:r>
                </w:p>
              </w:tc>
            </w:tr>
          </w:tbl>
          <w:p>
            <w:pPr>
              <w:spacing w:line="360" w:lineRule="auto"/>
              <w:ind w:firstLine="482" w:firstLineChars="200"/>
              <w:rPr>
                <w:b/>
                <w:bCs/>
                <w:color w:val="auto"/>
                <w:sz w:val="24"/>
                <w:szCs w:val="24"/>
              </w:rPr>
            </w:pPr>
            <w:r>
              <w:rPr>
                <w:rFonts w:hint="eastAsia"/>
                <w:b/>
                <w:bCs/>
                <w:color w:val="auto"/>
                <w:sz w:val="24"/>
                <w:szCs w:val="24"/>
              </w:rPr>
              <w:t>四</w:t>
            </w:r>
            <w:r>
              <w:rPr>
                <w:b/>
                <w:bCs/>
                <w:color w:val="auto"/>
                <w:sz w:val="24"/>
                <w:szCs w:val="24"/>
              </w:rPr>
              <w:t>、项目概况</w:t>
            </w:r>
          </w:p>
          <w:p>
            <w:pPr>
              <w:spacing w:line="360" w:lineRule="auto"/>
              <w:ind w:firstLine="480" w:firstLineChars="200"/>
              <w:rPr>
                <w:color w:val="auto"/>
                <w:sz w:val="24"/>
                <w:szCs w:val="24"/>
              </w:rPr>
            </w:pPr>
            <w:r>
              <w:rPr>
                <w:color w:val="auto"/>
                <w:sz w:val="24"/>
                <w:szCs w:val="24"/>
              </w:rPr>
              <w:t>1、项目名称：</w:t>
            </w:r>
            <w:r>
              <w:rPr>
                <w:rFonts w:hint="eastAsia"/>
                <w:color w:val="auto"/>
                <w:sz w:val="24"/>
                <w:szCs w:val="24"/>
              </w:rPr>
              <w:t>陕西华富新能源有限公司五台燃气锅炉脱硫、除尘环保改造项目</w:t>
            </w:r>
            <w:r>
              <w:rPr>
                <w:color w:val="auto"/>
                <w:sz w:val="24"/>
                <w:szCs w:val="24"/>
              </w:rPr>
              <w:t>；</w:t>
            </w:r>
          </w:p>
          <w:p>
            <w:pPr>
              <w:spacing w:line="360" w:lineRule="auto"/>
              <w:ind w:firstLine="480" w:firstLineChars="200"/>
              <w:rPr>
                <w:color w:val="auto"/>
                <w:sz w:val="24"/>
                <w:szCs w:val="24"/>
              </w:rPr>
            </w:pPr>
            <w:r>
              <w:rPr>
                <w:color w:val="auto"/>
                <w:sz w:val="24"/>
                <w:szCs w:val="24"/>
              </w:rPr>
              <w:t>2、建设单位：</w:t>
            </w:r>
            <w:r>
              <w:rPr>
                <w:rFonts w:hint="eastAsia"/>
                <w:color w:val="auto"/>
                <w:sz w:val="24"/>
                <w:szCs w:val="24"/>
              </w:rPr>
              <w:t>陕西华富新能源</w:t>
            </w:r>
            <w:r>
              <w:rPr>
                <w:color w:val="auto"/>
                <w:sz w:val="24"/>
                <w:szCs w:val="24"/>
              </w:rPr>
              <w:t>有限公司；</w:t>
            </w:r>
          </w:p>
          <w:p>
            <w:pPr>
              <w:spacing w:line="360" w:lineRule="auto"/>
              <w:ind w:firstLine="480" w:firstLineChars="200"/>
              <w:rPr>
                <w:color w:val="auto"/>
                <w:sz w:val="24"/>
                <w:szCs w:val="24"/>
              </w:rPr>
            </w:pPr>
            <w:r>
              <w:rPr>
                <w:color w:val="auto"/>
                <w:sz w:val="24"/>
                <w:szCs w:val="24"/>
              </w:rPr>
              <w:t>3、建设地点：</w:t>
            </w:r>
            <w:r>
              <w:rPr>
                <w:rFonts w:hint="eastAsia"/>
                <w:color w:val="auto"/>
                <w:sz w:val="24"/>
                <w:szCs w:val="24"/>
              </w:rPr>
              <w:t>陕西省韩城市陕西华富新能源有限公司现有厂区内</w:t>
            </w:r>
            <w:r>
              <w:rPr>
                <w:color w:val="auto"/>
                <w:sz w:val="24"/>
                <w:szCs w:val="24"/>
              </w:rPr>
              <w:t>，地理位置图见</w:t>
            </w:r>
            <w:r>
              <w:rPr>
                <w:rFonts w:hint="eastAsia"/>
                <w:color w:val="auto"/>
                <w:sz w:val="24"/>
                <w:szCs w:val="24"/>
              </w:rPr>
              <w:t>附</w:t>
            </w:r>
            <w:r>
              <w:rPr>
                <w:color w:val="auto"/>
                <w:sz w:val="24"/>
                <w:szCs w:val="24"/>
              </w:rPr>
              <w:t>图1；</w:t>
            </w:r>
          </w:p>
          <w:p>
            <w:pPr>
              <w:spacing w:line="360" w:lineRule="auto"/>
              <w:ind w:firstLine="480" w:firstLineChars="200"/>
              <w:rPr>
                <w:color w:val="auto"/>
                <w:sz w:val="24"/>
                <w:szCs w:val="24"/>
              </w:rPr>
            </w:pPr>
            <w:r>
              <w:rPr>
                <w:color w:val="auto"/>
                <w:sz w:val="24"/>
                <w:szCs w:val="24"/>
              </w:rPr>
              <w:t>4、建设性质：</w:t>
            </w:r>
            <w:r>
              <w:rPr>
                <w:rFonts w:hint="eastAsia"/>
                <w:color w:val="auto"/>
                <w:sz w:val="24"/>
                <w:szCs w:val="24"/>
              </w:rPr>
              <w:t>技改</w:t>
            </w:r>
            <w:r>
              <w:rPr>
                <w:color w:val="auto"/>
                <w:sz w:val="24"/>
                <w:szCs w:val="24"/>
              </w:rPr>
              <w:t>；</w:t>
            </w:r>
          </w:p>
          <w:p>
            <w:pPr>
              <w:spacing w:line="360" w:lineRule="auto"/>
              <w:ind w:firstLine="480" w:firstLineChars="200"/>
              <w:rPr>
                <w:color w:val="auto"/>
                <w:sz w:val="24"/>
                <w:szCs w:val="24"/>
              </w:rPr>
            </w:pPr>
            <w:r>
              <w:rPr>
                <w:color w:val="auto"/>
                <w:sz w:val="24"/>
                <w:szCs w:val="24"/>
              </w:rPr>
              <w:t>5、建设</w:t>
            </w:r>
            <w:r>
              <w:rPr>
                <w:rFonts w:hint="eastAsia"/>
                <w:color w:val="auto"/>
                <w:sz w:val="24"/>
                <w:szCs w:val="24"/>
              </w:rPr>
              <w:t>规模</w:t>
            </w:r>
            <w:r>
              <w:rPr>
                <w:color w:val="auto"/>
                <w:sz w:val="24"/>
                <w:szCs w:val="24"/>
              </w:rPr>
              <w:t>：</w:t>
            </w:r>
            <w:r>
              <w:rPr>
                <w:rFonts w:hint="eastAsia"/>
                <w:color w:val="auto"/>
                <w:sz w:val="24"/>
                <w:szCs w:val="24"/>
              </w:rPr>
              <w:t>新建烟气处理量580851Nm</w:t>
            </w:r>
            <w:r>
              <w:rPr>
                <w:rFonts w:hint="eastAsia"/>
                <w:color w:val="auto"/>
                <w:sz w:val="24"/>
                <w:szCs w:val="24"/>
                <w:vertAlign w:val="superscript"/>
              </w:rPr>
              <w:t>3</w:t>
            </w:r>
            <w:r>
              <w:rPr>
                <w:rFonts w:hint="eastAsia"/>
                <w:color w:val="auto"/>
                <w:sz w:val="24"/>
                <w:szCs w:val="24"/>
              </w:rPr>
              <w:t>/h锅炉烟气脱硫除尘系统3套及其附属设施，同时副产硫酸铵14</w:t>
            </w:r>
            <w:r>
              <w:rPr>
                <w:color w:val="auto"/>
                <w:sz w:val="24"/>
                <w:szCs w:val="24"/>
              </w:rPr>
              <w:t>0</w:t>
            </w:r>
            <w:r>
              <w:rPr>
                <w:rFonts w:hint="eastAsia"/>
                <w:color w:val="auto"/>
                <w:sz w:val="24"/>
                <w:szCs w:val="24"/>
              </w:rPr>
              <w:t>0t/a。</w:t>
            </w:r>
          </w:p>
          <w:p>
            <w:pPr>
              <w:spacing w:line="360" w:lineRule="auto"/>
              <w:ind w:firstLine="480" w:firstLineChars="200"/>
              <w:rPr>
                <w:color w:val="auto"/>
                <w:sz w:val="24"/>
                <w:szCs w:val="24"/>
              </w:rPr>
            </w:pPr>
            <w:r>
              <w:rPr>
                <w:color w:val="auto"/>
                <w:sz w:val="24"/>
                <w:szCs w:val="24"/>
              </w:rPr>
              <w:t>6、总投资：</w:t>
            </w:r>
            <w:r>
              <w:rPr>
                <w:rFonts w:hint="eastAsia"/>
                <w:color w:val="auto"/>
                <w:sz w:val="24"/>
                <w:szCs w:val="24"/>
              </w:rPr>
              <w:t>3000</w:t>
            </w:r>
            <w:r>
              <w:rPr>
                <w:color w:val="auto"/>
                <w:sz w:val="24"/>
                <w:szCs w:val="24"/>
              </w:rPr>
              <w:t>万元</w:t>
            </w:r>
          </w:p>
          <w:p>
            <w:pPr>
              <w:spacing w:line="360" w:lineRule="auto"/>
              <w:ind w:firstLine="482" w:firstLineChars="200"/>
              <w:rPr>
                <w:b/>
                <w:bCs/>
                <w:color w:val="auto"/>
                <w:sz w:val="24"/>
                <w:szCs w:val="24"/>
              </w:rPr>
            </w:pPr>
            <w:r>
              <w:rPr>
                <w:rFonts w:hint="eastAsia"/>
                <w:b/>
                <w:bCs/>
                <w:color w:val="auto"/>
                <w:sz w:val="24"/>
                <w:szCs w:val="24"/>
              </w:rPr>
              <w:t>五</w:t>
            </w:r>
            <w:r>
              <w:rPr>
                <w:b/>
                <w:bCs/>
                <w:color w:val="auto"/>
                <w:sz w:val="24"/>
                <w:szCs w:val="24"/>
              </w:rPr>
              <w:t>、主要建设内容</w:t>
            </w:r>
          </w:p>
          <w:p>
            <w:pPr>
              <w:spacing w:line="360" w:lineRule="auto"/>
              <w:ind w:firstLine="480" w:firstLineChars="200"/>
              <w:rPr>
                <w:color w:val="auto"/>
                <w:sz w:val="24"/>
                <w:szCs w:val="24"/>
              </w:rPr>
            </w:pPr>
            <w:r>
              <w:rPr>
                <w:rFonts w:hint="eastAsia"/>
                <w:color w:val="auto"/>
                <w:sz w:val="24"/>
                <w:szCs w:val="24"/>
              </w:rPr>
              <w:t>五台锅炉新建烟气脱硫除尘系统3套，主要包括烟气脱硫系统、除尘系统和供、储氨系统；其中，1#炉、2#炉、3#炉共建脱硫除尘系统1套，4#炉、5#炉各建脱硫除尘系统1套</w:t>
            </w:r>
            <w:r>
              <w:rPr>
                <w:color w:val="auto"/>
                <w:sz w:val="24"/>
                <w:szCs w:val="24"/>
              </w:rPr>
              <w:t>；</w:t>
            </w:r>
            <w:r>
              <w:rPr>
                <w:rFonts w:hint="eastAsia"/>
                <w:color w:val="auto"/>
                <w:sz w:val="24"/>
                <w:szCs w:val="24"/>
              </w:rPr>
              <w:t>同时安装烟气在线监测系统3套。项目组成见表</w:t>
            </w:r>
            <w:r>
              <w:rPr>
                <w:color w:val="auto"/>
                <w:sz w:val="24"/>
                <w:szCs w:val="24"/>
              </w:rPr>
              <w:t>4</w:t>
            </w:r>
            <w:r>
              <w:rPr>
                <w:rFonts w:hint="eastAsia"/>
                <w:color w:val="auto"/>
                <w:sz w:val="24"/>
                <w:szCs w:val="24"/>
              </w:rPr>
              <w:t>。</w:t>
            </w:r>
          </w:p>
          <w:p>
            <w:pPr>
              <w:spacing w:line="360" w:lineRule="auto"/>
              <w:jc w:val="center"/>
              <w:rPr>
                <w:rFonts w:eastAsia="黑体"/>
                <w:color w:val="auto"/>
                <w:sz w:val="24"/>
                <w:szCs w:val="24"/>
              </w:rPr>
            </w:pPr>
            <w:r>
              <w:rPr>
                <w:rFonts w:eastAsia="黑体"/>
                <w:color w:val="auto"/>
                <w:sz w:val="24"/>
                <w:szCs w:val="24"/>
              </w:rPr>
              <w:t>表4  项目工程组成一览表</w:t>
            </w:r>
          </w:p>
          <w:tbl>
            <w:tblPr>
              <w:tblStyle w:val="26"/>
              <w:tblW w:w="91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945"/>
              <w:gridCol w:w="1276"/>
              <w:gridCol w:w="5213"/>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36" w:type="dxa"/>
                  <w:gridSpan w:val="3"/>
                  <w:tcBorders>
                    <w:top w:val="single" w:color="auto" w:sz="4" w:space="0"/>
                    <w:left w:val="single" w:color="auto" w:sz="4" w:space="0"/>
                    <w:bottom w:val="single" w:color="auto" w:sz="4" w:space="0"/>
                    <w:right w:val="single" w:color="auto" w:sz="4" w:space="0"/>
                  </w:tcBorders>
                  <w:vAlign w:val="center"/>
                </w:tcPr>
                <w:p>
                  <w:pPr>
                    <w:jc w:val="center"/>
                    <w:rPr>
                      <w:b/>
                      <w:bCs/>
                      <w:color w:val="auto"/>
                    </w:rPr>
                  </w:pPr>
                  <w:r>
                    <w:rPr>
                      <w:b/>
                      <w:bCs/>
                      <w:color w:val="auto"/>
                    </w:rPr>
                    <w:t>名称</w:t>
                  </w:r>
                </w:p>
              </w:tc>
              <w:tc>
                <w:tcPr>
                  <w:tcW w:w="5213" w:type="dxa"/>
                  <w:tcBorders>
                    <w:top w:val="single" w:color="auto" w:sz="4" w:space="0"/>
                    <w:left w:val="single" w:color="auto" w:sz="4" w:space="0"/>
                    <w:bottom w:val="single" w:color="auto" w:sz="4" w:space="0"/>
                    <w:right w:val="single" w:color="auto" w:sz="4" w:space="0"/>
                  </w:tcBorders>
                </w:tcPr>
                <w:p>
                  <w:pPr>
                    <w:jc w:val="center"/>
                    <w:rPr>
                      <w:b/>
                      <w:bCs/>
                      <w:color w:val="auto"/>
                    </w:rPr>
                  </w:pPr>
                  <w:r>
                    <w:rPr>
                      <w:b/>
                      <w:bCs/>
                      <w:color w:val="auto"/>
                    </w:rPr>
                    <w:t>工程主要内容</w:t>
                  </w:r>
                </w:p>
              </w:tc>
              <w:tc>
                <w:tcPr>
                  <w:tcW w:w="1206" w:type="dxa"/>
                  <w:tcBorders>
                    <w:top w:val="single" w:color="auto" w:sz="4" w:space="0"/>
                    <w:left w:val="single" w:color="auto" w:sz="4" w:space="0"/>
                    <w:bottom w:val="single" w:color="auto" w:sz="4" w:space="0"/>
                    <w:right w:val="single" w:color="auto" w:sz="4" w:space="0"/>
                  </w:tcBorders>
                  <w:vAlign w:val="center"/>
                </w:tcPr>
                <w:p>
                  <w:pPr>
                    <w:jc w:val="center"/>
                    <w:rPr>
                      <w:b/>
                      <w:bCs/>
                      <w:color w:val="auto"/>
                    </w:rPr>
                  </w:pPr>
                  <w:r>
                    <w:rPr>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5" w:type="dxa"/>
                  <w:vMerge w:val="restart"/>
                  <w:tcBorders>
                    <w:left w:val="single" w:color="auto" w:sz="4" w:space="0"/>
                    <w:right w:val="single" w:color="auto" w:sz="4" w:space="0"/>
                  </w:tcBorders>
                  <w:vAlign w:val="center"/>
                </w:tcPr>
                <w:p>
                  <w:pPr>
                    <w:jc w:val="center"/>
                    <w:rPr>
                      <w:b/>
                      <w:bCs/>
                      <w:color w:val="auto"/>
                    </w:rPr>
                  </w:pPr>
                  <w:r>
                    <w:rPr>
                      <w:color w:val="auto"/>
                    </w:rPr>
                    <w:t>主体工程</w:t>
                  </w:r>
                </w:p>
              </w:tc>
              <w:tc>
                <w:tcPr>
                  <w:tcW w:w="2221" w:type="dxa"/>
                  <w:gridSpan w:val="2"/>
                  <w:tcBorders>
                    <w:top w:val="single" w:color="auto" w:sz="4" w:space="0"/>
                    <w:left w:val="single" w:color="auto" w:sz="4" w:space="0"/>
                    <w:bottom w:val="single" w:color="auto" w:sz="4" w:space="0"/>
                    <w:right w:val="single" w:color="auto" w:sz="4" w:space="0"/>
                  </w:tcBorders>
                  <w:vAlign w:val="center"/>
                </w:tcPr>
                <w:p>
                  <w:pPr>
                    <w:jc w:val="center"/>
                    <w:rPr>
                      <w:bCs/>
                      <w:color w:val="auto"/>
                    </w:rPr>
                  </w:pPr>
                  <w:r>
                    <w:rPr>
                      <w:rFonts w:hint="eastAsia"/>
                      <w:bCs/>
                      <w:color w:val="auto"/>
                    </w:rPr>
                    <w:t>脱硫系统</w:t>
                  </w:r>
                </w:p>
              </w:tc>
              <w:tc>
                <w:tcPr>
                  <w:tcW w:w="5213" w:type="dxa"/>
                  <w:tcBorders>
                    <w:top w:val="single" w:color="auto" w:sz="4" w:space="0"/>
                    <w:left w:val="single" w:color="auto" w:sz="4" w:space="0"/>
                    <w:bottom w:val="single" w:color="auto" w:sz="4" w:space="0"/>
                    <w:right w:val="single" w:color="auto" w:sz="4" w:space="0"/>
                  </w:tcBorders>
                </w:tcPr>
                <w:p>
                  <w:pPr>
                    <w:jc w:val="left"/>
                    <w:rPr>
                      <w:color w:val="auto"/>
                    </w:rPr>
                  </w:pPr>
                  <w:r>
                    <w:rPr>
                      <w:rFonts w:hint="eastAsia"/>
                      <w:color w:val="auto"/>
                    </w:rPr>
                    <w:t>新建脱硫系统3套，每套设计处理烟气量580851Nm</w:t>
                  </w:r>
                  <w:r>
                    <w:rPr>
                      <w:rFonts w:hint="eastAsia"/>
                      <w:color w:val="auto"/>
                      <w:vertAlign w:val="superscript"/>
                    </w:rPr>
                    <w:t>3</w:t>
                  </w:r>
                  <w:r>
                    <w:rPr>
                      <w:rFonts w:hint="eastAsia"/>
                      <w:color w:val="auto"/>
                    </w:rPr>
                    <w:t>/h。</w:t>
                  </w:r>
                </w:p>
                <w:p>
                  <w:pPr>
                    <w:jc w:val="left"/>
                    <w:rPr>
                      <w:bCs/>
                      <w:color w:val="auto"/>
                    </w:rPr>
                  </w:pPr>
                  <w:r>
                    <w:rPr>
                      <w:rFonts w:hint="eastAsia"/>
                      <w:color w:val="auto"/>
                    </w:rPr>
                    <w:t>其中1#、2#、3#炉共建脱硫系统1套，4#、5#炉各建脱硫系统一套，以氨水为脱硫剂，采用氨法半干法脱硫工艺，氨水与烟气强烈混掺/传质/传热，与烟气中的SO</w:t>
                  </w:r>
                  <w:r>
                    <w:rPr>
                      <w:rFonts w:hint="eastAsia"/>
                      <w:color w:val="auto"/>
                      <w:vertAlign w:val="subscript"/>
                    </w:rPr>
                    <w:t>2</w:t>
                  </w:r>
                  <w:r>
                    <w:rPr>
                      <w:rFonts w:hint="eastAsia"/>
                      <w:color w:val="auto"/>
                    </w:rPr>
                    <w:t>迅速反应，生成(NH</w:t>
                  </w:r>
                  <w:r>
                    <w:rPr>
                      <w:rFonts w:hint="eastAsia"/>
                      <w:color w:val="auto"/>
                      <w:vertAlign w:val="subscript"/>
                    </w:rPr>
                    <w:t>4</w:t>
                  </w:r>
                  <w:r>
                    <w:rPr>
                      <w:rFonts w:hint="eastAsia"/>
                      <w:color w:val="auto"/>
                    </w:rPr>
                    <w:t>)</w:t>
                  </w:r>
                  <w:r>
                    <w:rPr>
                      <w:rFonts w:hint="eastAsia"/>
                      <w:color w:val="auto"/>
                      <w:vertAlign w:val="subscript"/>
                    </w:rPr>
                    <w:t>2</w:t>
                  </w:r>
                  <w:r>
                    <w:rPr>
                      <w:rFonts w:hint="eastAsia"/>
                      <w:color w:val="auto"/>
                    </w:rPr>
                    <w:t>SO</w:t>
                  </w:r>
                  <w:r>
                    <w:rPr>
                      <w:rFonts w:hint="eastAsia"/>
                      <w:color w:val="auto"/>
                      <w:vertAlign w:val="subscript"/>
                    </w:rPr>
                    <w:t>3</w:t>
                  </w:r>
                  <w:r>
                    <w:rPr>
                      <w:rFonts w:hint="eastAsia"/>
                      <w:color w:val="auto"/>
                    </w:rPr>
                    <w:t>并氧化生成(NH</w:t>
                  </w:r>
                  <w:r>
                    <w:rPr>
                      <w:rFonts w:hint="eastAsia"/>
                      <w:color w:val="auto"/>
                      <w:vertAlign w:val="subscript"/>
                    </w:rPr>
                    <w:t>4</w:t>
                  </w:r>
                  <w:r>
                    <w:rPr>
                      <w:rFonts w:hint="eastAsia"/>
                      <w:color w:val="auto"/>
                    </w:rPr>
                    <w:t>)</w:t>
                  </w:r>
                  <w:r>
                    <w:rPr>
                      <w:rFonts w:hint="eastAsia"/>
                      <w:color w:val="auto"/>
                      <w:vertAlign w:val="subscript"/>
                    </w:rPr>
                    <w:t>2</w:t>
                  </w:r>
                  <w:r>
                    <w:rPr>
                      <w:rFonts w:hint="eastAsia"/>
                      <w:color w:val="auto"/>
                    </w:rPr>
                    <w:t>SO</w:t>
                  </w:r>
                  <w:r>
                    <w:rPr>
                      <w:rFonts w:hint="eastAsia"/>
                      <w:color w:val="auto"/>
                      <w:vertAlign w:val="subscript"/>
                    </w:rPr>
                    <w:t>4</w:t>
                  </w:r>
                  <w:r>
                    <w:rPr>
                      <w:rFonts w:hint="eastAsia"/>
                      <w:color w:val="auto"/>
                    </w:rPr>
                    <w:t>晶体，达到脱硫目的。锅炉烟气经脱硫处理后进入后续除尘系统</w:t>
                  </w:r>
                </w:p>
              </w:tc>
              <w:tc>
                <w:tcPr>
                  <w:tcW w:w="1206" w:type="dxa"/>
                  <w:tcBorders>
                    <w:top w:val="single" w:color="auto" w:sz="4" w:space="0"/>
                    <w:left w:val="single" w:color="auto" w:sz="4" w:space="0"/>
                    <w:bottom w:val="single" w:color="auto" w:sz="4" w:space="0"/>
                    <w:right w:val="single" w:color="auto" w:sz="4" w:space="0"/>
                  </w:tcBorders>
                  <w:vAlign w:val="center"/>
                </w:tcPr>
                <w:p>
                  <w:pPr>
                    <w:jc w:val="center"/>
                    <w:rPr>
                      <w:b/>
                      <w:bCs/>
                      <w:color w:val="auto"/>
                    </w:rPr>
                  </w:pPr>
                  <w:r>
                    <w:rPr>
                      <w:rFonts w:hint="eastAsia"/>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5" w:type="dxa"/>
                  <w:vMerge w:val="continue"/>
                  <w:tcBorders>
                    <w:left w:val="single" w:color="auto" w:sz="4" w:space="0"/>
                    <w:right w:val="single" w:color="auto" w:sz="4" w:space="0"/>
                  </w:tcBorders>
                  <w:vAlign w:val="center"/>
                </w:tcPr>
                <w:p>
                  <w:pPr>
                    <w:jc w:val="center"/>
                    <w:rPr>
                      <w:b/>
                      <w:bCs/>
                      <w:color w:val="auto"/>
                    </w:rPr>
                  </w:pPr>
                </w:p>
              </w:tc>
              <w:tc>
                <w:tcPr>
                  <w:tcW w:w="2221" w:type="dxa"/>
                  <w:gridSpan w:val="2"/>
                  <w:tcBorders>
                    <w:top w:val="single" w:color="auto" w:sz="4" w:space="0"/>
                    <w:left w:val="single" w:color="auto" w:sz="4" w:space="0"/>
                    <w:bottom w:val="single" w:color="auto" w:sz="4" w:space="0"/>
                    <w:right w:val="single" w:color="auto" w:sz="4" w:space="0"/>
                  </w:tcBorders>
                  <w:vAlign w:val="center"/>
                </w:tcPr>
                <w:p>
                  <w:pPr>
                    <w:jc w:val="center"/>
                    <w:rPr>
                      <w:bCs/>
                      <w:color w:val="auto"/>
                    </w:rPr>
                  </w:pPr>
                  <w:r>
                    <w:rPr>
                      <w:rFonts w:hint="eastAsia"/>
                      <w:bCs/>
                      <w:color w:val="auto"/>
                    </w:rPr>
                    <w:t>除尘系统</w:t>
                  </w:r>
                </w:p>
              </w:tc>
              <w:tc>
                <w:tcPr>
                  <w:tcW w:w="5213" w:type="dxa"/>
                  <w:tcBorders>
                    <w:top w:val="single" w:color="auto" w:sz="4" w:space="0"/>
                    <w:left w:val="single" w:color="auto" w:sz="4" w:space="0"/>
                    <w:bottom w:val="single" w:color="auto" w:sz="4" w:space="0"/>
                    <w:right w:val="single" w:color="auto" w:sz="4" w:space="0"/>
                  </w:tcBorders>
                  <w:vAlign w:val="center"/>
                </w:tcPr>
                <w:p>
                  <w:pPr>
                    <w:jc w:val="left"/>
                    <w:rPr>
                      <w:color w:val="auto"/>
                    </w:rPr>
                  </w:pPr>
                  <w:r>
                    <w:rPr>
                      <w:rFonts w:hint="eastAsia"/>
                      <w:color w:val="auto"/>
                    </w:rPr>
                    <w:t>新建离线反吹式袋式除尘系统3套，其中1#、2#、3#炉共用1套，4#、5#炉各建1套。脱硫产生的硫酸铵及锅炉烟气中的颗粒物经除尘系统处理后，硫酸铵收集作为副产品外售，烟气经烟囱排放</w:t>
                  </w:r>
                </w:p>
              </w:tc>
              <w:tc>
                <w:tcPr>
                  <w:tcW w:w="120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5" w:type="dxa"/>
                  <w:vMerge w:val="continue"/>
                  <w:tcBorders>
                    <w:left w:val="single" w:color="auto" w:sz="4" w:space="0"/>
                    <w:right w:val="single" w:color="auto" w:sz="4" w:space="0"/>
                  </w:tcBorders>
                  <w:vAlign w:val="center"/>
                </w:tcPr>
                <w:p>
                  <w:pPr>
                    <w:jc w:val="center"/>
                    <w:rPr>
                      <w:b/>
                      <w:bCs/>
                      <w:color w:val="auto"/>
                    </w:rPr>
                  </w:pPr>
                </w:p>
              </w:tc>
              <w:tc>
                <w:tcPr>
                  <w:tcW w:w="2221" w:type="dxa"/>
                  <w:gridSpan w:val="2"/>
                  <w:tcBorders>
                    <w:top w:val="single" w:color="auto" w:sz="4" w:space="0"/>
                    <w:left w:val="single" w:color="auto" w:sz="4" w:space="0"/>
                    <w:bottom w:val="single" w:color="auto" w:sz="4" w:space="0"/>
                    <w:right w:val="single" w:color="auto" w:sz="4" w:space="0"/>
                  </w:tcBorders>
                  <w:vAlign w:val="center"/>
                </w:tcPr>
                <w:p>
                  <w:pPr>
                    <w:jc w:val="center"/>
                    <w:rPr>
                      <w:bCs/>
                      <w:color w:val="auto"/>
                    </w:rPr>
                  </w:pPr>
                  <w:r>
                    <w:rPr>
                      <w:rFonts w:hint="eastAsia"/>
                      <w:color w:val="auto"/>
                    </w:rPr>
                    <w:t>供、储氨系统</w:t>
                  </w:r>
                </w:p>
              </w:tc>
              <w:tc>
                <w:tcPr>
                  <w:tcW w:w="5213" w:type="dxa"/>
                  <w:tcBorders>
                    <w:top w:val="single" w:color="auto" w:sz="4" w:space="0"/>
                    <w:left w:val="single" w:color="auto" w:sz="4" w:space="0"/>
                    <w:bottom w:val="single" w:color="auto" w:sz="4" w:space="0"/>
                    <w:right w:val="single" w:color="auto" w:sz="4" w:space="0"/>
                  </w:tcBorders>
                  <w:vAlign w:val="center"/>
                </w:tcPr>
                <w:p>
                  <w:pPr>
                    <w:jc w:val="left"/>
                    <w:rPr>
                      <w:color w:val="auto"/>
                    </w:rPr>
                  </w:pPr>
                  <w:r>
                    <w:rPr>
                      <w:rFonts w:hint="eastAsia"/>
                      <w:color w:val="auto"/>
                    </w:rPr>
                    <w:t>新建10t/h供、储氨系统1套，包括2个氨区，每个氨区设置50m</w:t>
                  </w:r>
                  <w:r>
                    <w:rPr>
                      <w:rFonts w:hint="eastAsia"/>
                      <w:color w:val="auto"/>
                      <w:vertAlign w:val="superscript"/>
                    </w:rPr>
                    <w:t>3</w:t>
                  </w:r>
                  <w:r>
                    <w:rPr>
                      <w:rFonts w:hint="eastAsia"/>
                      <w:color w:val="auto"/>
                    </w:rPr>
                    <w:t>浓氨罐1个、50m</w:t>
                  </w:r>
                  <w:r>
                    <w:rPr>
                      <w:rFonts w:hint="eastAsia"/>
                      <w:color w:val="auto"/>
                      <w:vertAlign w:val="superscript"/>
                    </w:rPr>
                    <w:t>3</w:t>
                  </w:r>
                  <w:r>
                    <w:rPr>
                      <w:rFonts w:hint="eastAsia"/>
                      <w:color w:val="auto"/>
                    </w:rPr>
                    <w:t>稀氨罐2个及输送泵等辅助设备，进厂氨水由20%稀释至3%后由喷氨泵送入脱硫装置作为脱硫剂使用</w:t>
                  </w:r>
                </w:p>
              </w:tc>
              <w:tc>
                <w:tcPr>
                  <w:tcW w:w="120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515" w:type="dxa"/>
                  <w:vMerge w:val="restart"/>
                  <w:tcBorders>
                    <w:left w:val="single" w:color="auto" w:sz="4" w:space="0"/>
                    <w:right w:val="single" w:color="auto" w:sz="4" w:space="0"/>
                  </w:tcBorders>
                  <w:vAlign w:val="center"/>
                </w:tcPr>
                <w:p>
                  <w:pPr>
                    <w:jc w:val="center"/>
                    <w:rPr>
                      <w:color w:val="auto"/>
                    </w:rPr>
                  </w:pPr>
                  <w:r>
                    <w:rPr>
                      <w:rFonts w:hint="eastAsia"/>
                      <w:color w:val="auto"/>
                    </w:rPr>
                    <w:t>辅助工程</w:t>
                  </w:r>
                </w:p>
              </w:tc>
              <w:tc>
                <w:tcPr>
                  <w:tcW w:w="2221"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烟囱</w:t>
                  </w:r>
                </w:p>
              </w:tc>
              <w:tc>
                <w:tcPr>
                  <w:tcW w:w="5213" w:type="dxa"/>
                  <w:tcBorders>
                    <w:top w:val="single" w:color="auto" w:sz="4" w:space="0"/>
                    <w:left w:val="single" w:color="auto" w:sz="4" w:space="0"/>
                    <w:bottom w:val="single" w:color="auto" w:sz="4" w:space="0"/>
                    <w:right w:val="single" w:color="auto" w:sz="4" w:space="0"/>
                  </w:tcBorders>
                  <w:vAlign w:val="center"/>
                </w:tcPr>
                <w:p>
                  <w:pPr>
                    <w:jc w:val="left"/>
                    <w:rPr>
                      <w:color w:val="auto"/>
                    </w:rPr>
                  </w:pPr>
                  <w:r>
                    <w:rPr>
                      <w:rFonts w:hint="eastAsia"/>
                      <w:color w:val="auto"/>
                    </w:rPr>
                    <w:t>五台燃气锅炉共设置3根烟囱，其中，1#、2#炉共用1根高8</w:t>
                  </w:r>
                  <w:r>
                    <w:rPr>
                      <w:color w:val="auto"/>
                    </w:rPr>
                    <w:t>0</w:t>
                  </w:r>
                  <w:r>
                    <w:rPr>
                      <w:rFonts w:hint="eastAsia"/>
                      <w:color w:val="auto"/>
                    </w:rPr>
                    <w:t>m、内径3m的烟囱；3#炉设置1根高8</w:t>
                  </w:r>
                  <w:r>
                    <w:rPr>
                      <w:color w:val="auto"/>
                    </w:rPr>
                    <w:t>0</w:t>
                  </w:r>
                  <w:r>
                    <w:rPr>
                      <w:rFonts w:hint="eastAsia"/>
                      <w:color w:val="auto"/>
                    </w:rPr>
                    <w:t>m、内径3m的烟囱；4#、5#炉共用1根高8</w:t>
                  </w:r>
                  <w:r>
                    <w:rPr>
                      <w:color w:val="auto"/>
                    </w:rPr>
                    <w:t>0</w:t>
                  </w:r>
                  <w:r>
                    <w:rPr>
                      <w:rFonts w:hint="eastAsia"/>
                      <w:color w:val="auto"/>
                    </w:rPr>
                    <w:t>m、内径3.</w:t>
                  </w:r>
                  <w:r>
                    <w:rPr>
                      <w:color w:val="auto"/>
                    </w:rPr>
                    <w:t>5m</w:t>
                  </w:r>
                  <w:r>
                    <w:rPr>
                      <w:rFonts w:hint="eastAsia"/>
                      <w:color w:val="auto"/>
                    </w:rPr>
                    <w:t>的烟囱</w:t>
                  </w:r>
                </w:p>
              </w:tc>
              <w:tc>
                <w:tcPr>
                  <w:tcW w:w="120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515" w:type="dxa"/>
                  <w:vMerge w:val="continue"/>
                  <w:tcBorders>
                    <w:left w:val="single" w:color="auto" w:sz="4" w:space="0"/>
                    <w:right w:val="single" w:color="auto" w:sz="4" w:space="0"/>
                  </w:tcBorders>
                  <w:vAlign w:val="center"/>
                </w:tcPr>
                <w:p>
                  <w:pPr>
                    <w:jc w:val="center"/>
                    <w:rPr>
                      <w:color w:val="auto"/>
                    </w:rPr>
                  </w:pPr>
                </w:p>
              </w:tc>
              <w:tc>
                <w:tcPr>
                  <w:tcW w:w="2221"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烟气连续监测系统</w:t>
                  </w:r>
                </w:p>
              </w:tc>
              <w:tc>
                <w:tcPr>
                  <w:tcW w:w="5213" w:type="dxa"/>
                  <w:tcBorders>
                    <w:top w:val="single" w:color="auto" w:sz="4" w:space="0"/>
                    <w:left w:val="single" w:color="auto" w:sz="4" w:space="0"/>
                    <w:bottom w:val="single" w:color="auto" w:sz="4" w:space="0"/>
                    <w:right w:val="single" w:color="auto" w:sz="4" w:space="0"/>
                  </w:tcBorders>
                  <w:vAlign w:val="center"/>
                </w:tcPr>
                <w:p>
                  <w:pPr>
                    <w:jc w:val="left"/>
                    <w:rPr>
                      <w:color w:val="auto"/>
                    </w:rPr>
                  </w:pPr>
                  <w:r>
                    <w:rPr>
                      <w:rFonts w:hint="eastAsia"/>
                      <w:color w:val="auto"/>
                    </w:rPr>
                    <w:t>3根烟囱新建烟气连续监测系统3套，对脱硫除尘系统出口烟气量、颗粒物、SO</w:t>
                  </w:r>
                  <w:r>
                    <w:rPr>
                      <w:rFonts w:hint="eastAsia"/>
                      <w:color w:val="auto"/>
                      <w:vertAlign w:val="subscript"/>
                    </w:rPr>
                    <w:t>2</w:t>
                  </w:r>
                  <w:r>
                    <w:rPr>
                      <w:rFonts w:hint="eastAsia"/>
                      <w:color w:val="auto"/>
                    </w:rPr>
                    <w:t>、NO</w:t>
                  </w:r>
                  <w:r>
                    <w:rPr>
                      <w:rFonts w:hint="eastAsia"/>
                      <w:color w:val="auto"/>
                      <w:vertAlign w:val="subscript"/>
                    </w:rPr>
                    <w:t>X</w:t>
                  </w:r>
                  <w:r>
                    <w:rPr>
                      <w:rFonts w:hint="eastAsia"/>
                      <w:color w:val="auto"/>
                    </w:rPr>
                    <w:t>浓度以及含氧量、温度压力进行连续自动监测，同时将数据同步接入DCS控制系统</w:t>
                  </w:r>
                </w:p>
              </w:tc>
              <w:tc>
                <w:tcPr>
                  <w:tcW w:w="120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515" w:type="dxa"/>
                  <w:vMerge w:val="continue"/>
                  <w:tcBorders>
                    <w:left w:val="single" w:color="auto" w:sz="4" w:space="0"/>
                    <w:right w:val="single" w:color="auto" w:sz="4" w:space="0"/>
                  </w:tcBorders>
                  <w:vAlign w:val="center"/>
                </w:tcPr>
                <w:p>
                  <w:pPr>
                    <w:jc w:val="center"/>
                    <w:rPr>
                      <w:color w:val="auto"/>
                    </w:rPr>
                  </w:pPr>
                </w:p>
              </w:tc>
              <w:tc>
                <w:tcPr>
                  <w:tcW w:w="2221"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DCS控制系统</w:t>
                  </w:r>
                </w:p>
              </w:tc>
              <w:tc>
                <w:tcPr>
                  <w:tcW w:w="5213" w:type="dxa"/>
                  <w:tcBorders>
                    <w:top w:val="single" w:color="auto" w:sz="4" w:space="0"/>
                    <w:left w:val="single" w:color="auto" w:sz="4" w:space="0"/>
                    <w:bottom w:val="single" w:color="auto" w:sz="4" w:space="0"/>
                    <w:right w:val="single" w:color="auto" w:sz="4" w:space="0"/>
                  </w:tcBorders>
                  <w:vAlign w:val="center"/>
                </w:tcPr>
                <w:p>
                  <w:pPr>
                    <w:jc w:val="left"/>
                    <w:rPr>
                      <w:color w:val="auto"/>
                    </w:rPr>
                  </w:pPr>
                  <w:r>
                    <w:rPr>
                      <w:rFonts w:hint="eastAsia"/>
                      <w:color w:val="auto"/>
                    </w:rPr>
                    <w:t>新建DCS中央控制系统1套，位于现有二期泵房2层，利用烟气连续监测系统数据</w:t>
                  </w:r>
                  <w:r>
                    <w:rPr>
                      <w:color w:val="auto"/>
                    </w:rPr>
                    <w:t>转换成</w:t>
                  </w:r>
                  <w:r>
                    <w:rPr>
                      <w:rFonts w:hint="eastAsia"/>
                      <w:color w:val="auto"/>
                    </w:rPr>
                    <w:t>的</w:t>
                  </w:r>
                  <w:r>
                    <w:rPr>
                      <w:color w:val="auto"/>
                    </w:rPr>
                    <w:t>模拟数据反馈到DCS显示屏上</w:t>
                  </w:r>
                  <w:r>
                    <w:rPr>
                      <w:rFonts w:hint="eastAsia"/>
                      <w:color w:val="auto"/>
                    </w:rPr>
                    <w:t>，自动</w:t>
                  </w:r>
                  <w:r>
                    <w:rPr>
                      <w:color w:val="auto"/>
                    </w:rPr>
                    <w:t>利用</w:t>
                  </w:r>
                  <w:r>
                    <w:rPr>
                      <w:rFonts w:hint="eastAsia"/>
                      <w:color w:val="auto"/>
                    </w:rPr>
                    <w:t>调节阀</w:t>
                  </w:r>
                  <w:r>
                    <w:rPr>
                      <w:color w:val="auto"/>
                    </w:rPr>
                    <w:t>控制脱硫剂的投入量以</w:t>
                  </w:r>
                  <w:r>
                    <w:rPr>
                      <w:rFonts w:hint="eastAsia"/>
                      <w:color w:val="auto"/>
                    </w:rPr>
                    <w:t>控制脱硫系统运行参数和整体脱硫效果</w:t>
                  </w:r>
                </w:p>
              </w:tc>
              <w:tc>
                <w:tcPr>
                  <w:tcW w:w="120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1460" w:type="dxa"/>
                  <w:gridSpan w:val="2"/>
                  <w:vMerge w:val="restart"/>
                  <w:tcBorders>
                    <w:top w:val="single" w:color="auto" w:sz="4" w:space="0"/>
                    <w:left w:val="single" w:color="auto" w:sz="4" w:space="0"/>
                    <w:right w:val="single" w:color="auto" w:sz="4" w:space="0"/>
                  </w:tcBorders>
                  <w:vAlign w:val="center"/>
                </w:tcPr>
                <w:p>
                  <w:pPr>
                    <w:jc w:val="center"/>
                    <w:rPr>
                      <w:color w:val="auto"/>
                    </w:rPr>
                  </w:pPr>
                  <w:r>
                    <w:rPr>
                      <w:color w:val="auto"/>
                    </w:rPr>
                    <w:t>公用工程</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供电</w:t>
                  </w:r>
                </w:p>
              </w:tc>
              <w:tc>
                <w:tcPr>
                  <w:tcW w:w="5213" w:type="dxa"/>
                  <w:tcBorders>
                    <w:top w:val="single" w:color="auto" w:sz="4" w:space="0"/>
                    <w:left w:val="single" w:color="auto" w:sz="4" w:space="0"/>
                    <w:bottom w:val="single" w:color="auto" w:sz="4" w:space="0"/>
                    <w:right w:val="single" w:color="auto" w:sz="4" w:space="0"/>
                  </w:tcBorders>
                  <w:vAlign w:val="center"/>
                </w:tcPr>
                <w:p>
                  <w:pPr>
                    <w:jc w:val="left"/>
                    <w:rPr>
                      <w:color w:val="auto"/>
                    </w:rPr>
                  </w:pPr>
                  <w:r>
                    <w:rPr>
                      <w:rFonts w:hint="eastAsia"/>
                      <w:color w:val="auto"/>
                    </w:rPr>
                    <w:t>依托二期泵房二层现有配电间</w:t>
                  </w:r>
                </w:p>
              </w:tc>
              <w:tc>
                <w:tcPr>
                  <w:tcW w:w="120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460" w:type="dxa"/>
                  <w:gridSpan w:val="2"/>
                  <w:vMerge w:val="continue"/>
                  <w:tcBorders>
                    <w:left w:val="single" w:color="auto" w:sz="4" w:space="0"/>
                    <w:right w:val="single" w:color="auto" w:sz="4" w:space="0"/>
                  </w:tcBorders>
                  <w:vAlign w:val="center"/>
                </w:tcPr>
                <w:p>
                  <w:pPr>
                    <w:jc w:val="center"/>
                    <w:rPr>
                      <w:color w:val="auto"/>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给水</w:t>
                  </w:r>
                </w:p>
              </w:tc>
              <w:tc>
                <w:tcPr>
                  <w:tcW w:w="5213" w:type="dxa"/>
                  <w:tcBorders>
                    <w:top w:val="single" w:color="auto" w:sz="4" w:space="0"/>
                    <w:left w:val="single" w:color="auto" w:sz="4" w:space="0"/>
                    <w:bottom w:val="single" w:color="auto" w:sz="4" w:space="0"/>
                    <w:right w:val="single" w:color="auto" w:sz="4" w:space="0"/>
                  </w:tcBorders>
                  <w:vAlign w:val="center"/>
                </w:tcPr>
                <w:p>
                  <w:pPr>
                    <w:jc w:val="left"/>
                    <w:rPr>
                      <w:color w:val="auto"/>
                    </w:rPr>
                  </w:pPr>
                  <w:r>
                    <w:rPr>
                      <w:rFonts w:hint="eastAsia"/>
                      <w:color w:val="auto"/>
                    </w:rPr>
                    <w:t>氨水稀释用水由厂区现有化水系统提供</w:t>
                  </w:r>
                </w:p>
              </w:tc>
              <w:tc>
                <w:tcPr>
                  <w:tcW w:w="120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1460" w:type="dxa"/>
                  <w:gridSpan w:val="2"/>
                  <w:vMerge w:val="continue"/>
                  <w:tcBorders>
                    <w:left w:val="single" w:color="auto" w:sz="4" w:space="0"/>
                    <w:right w:val="single" w:color="auto" w:sz="4" w:space="0"/>
                  </w:tcBorders>
                  <w:vAlign w:val="center"/>
                </w:tcPr>
                <w:p>
                  <w:pPr>
                    <w:jc w:val="center"/>
                    <w:rPr>
                      <w:color w:val="auto"/>
                    </w:rPr>
                  </w:pPr>
                </w:p>
              </w:tc>
              <w:tc>
                <w:tcPr>
                  <w:tcW w:w="1276" w:type="dxa"/>
                  <w:tcBorders>
                    <w:top w:val="single" w:color="auto" w:sz="4" w:space="0"/>
                    <w:left w:val="single" w:color="auto" w:sz="4" w:space="0"/>
                    <w:right w:val="single" w:color="auto" w:sz="4" w:space="0"/>
                  </w:tcBorders>
                  <w:vAlign w:val="center"/>
                </w:tcPr>
                <w:p>
                  <w:pPr>
                    <w:jc w:val="center"/>
                    <w:rPr>
                      <w:color w:val="auto"/>
                    </w:rPr>
                  </w:pPr>
                  <w:r>
                    <w:rPr>
                      <w:color w:val="auto"/>
                    </w:rPr>
                    <w:t>排水</w:t>
                  </w:r>
                </w:p>
              </w:tc>
              <w:tc>
                <w:tcPr>
                  <w:tcW w:w="5213" w:type="dxa"/>
                  <w:tcBorders>
                    <w:top w:val="single" w:color="auto" w:sz="4" w:space="0"/>
                    <w:left w:val="single" w:color="auto" w:sz="4" w:space="0"/>
                    <w:right w:val="single" w:color="auto" w:sz="4" w:space="0"/>
                  </w:tcBorders>
                  <w:vAlign w:val="center"/>
                </w:tcPr>
                <w:p>
                  <w:pPr>
                    <w:jc w:val="left"/>
                    <w:rPr>
                      <w:color w:val="auto"/>
                    </w:rPr>
                  </w:pPr>
                  <w:r>
                    <w:rPr>
                      <w:rFonts w:hint="eastAsia"/>
                      <w:color w:val="auto"/>
                    </w:rPr>
                    <w:t>2个氨区各新建容积5</w:t>
                  </w:r>
                  <w:r>
                    <w:rPr>
                      <w:color w:val="auto"/>
                    </w:rPr>
                    <w:t>0</w:t>
                  </w:r>
                  <w:r>
                    <w:rPr>
                      <w:rFonts w:hint="eastAsia"/>
                      <w:color w:val="auto"/>
                    </w:rPr>
                    <w:t>m</w:t>
                  </w:r>
                  <w:r>
                    <w:rPr>
                      <w:rFonts w:hint="eastAsia"/>
                      <w:color w:val="auto"/>
                      <w:vertAlign w:val="superscript"/>
                    </w:rPr>
                    <w:t>3</w:t>
                  </w:r>
                  <w:r>
                    <w:rPr>
                      <w:rFonts w:hint="eastAsia"/>
                      <w:color w:val="auto"/>
                    </w:rPr>
                    <w:t>事故水池1座，事故污水经收集后批次泵入陕西龙门钢铁（集团）有限责任公司污水处理站处理后综合利用，不外排；</w:t>
                  </w:r>
                </w:p>
              </w:tc>
              <w:tc>
                <w:tcPr>
                  <w:tcW w:w="1206" w:type="dxa"/>
                  <w:tcBorders>
                    <w:top w:val="single" w:color="auto" w:sz="4" w:space="0"/>
                    <w:left w:val="single" w:color="auto" w:sz="4" w:space="0"/>
                    <w:right w:val="single" w:color="auto" w:sz="4" w:space="0"/>
                  </w:tcBorders>
                  <w:vAlign w:val="center"/>
                </w:tcPr>
                <w:p>
                  <w:pPr>
                    <w:jc w:val="center"/>
                    <w:rPr>
                      <w:color w:val="auto"/>
                    </w:rPr>
                  </w:pPr>
                  <w:r>
                    <w:rPr>
                      <w:rFonts w:hint="eastAsia"/>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460" w:type="dxa"/>
                  <w:gridSpan w:val="2"/>
                  <w:vMerge w:val="continue"/>
                  <w:tcBorders>
                    <w:left w:val="single" w:color="auto" w:sz="4" w:space="0"/>
                    <w:bottom w:val="single" w:color="auto" w:sz="4" w:space="0"/>
                    <w:right w:val="single" w:color="auto" w:sz="4" w:space="0"/>
                  </w:tcBorders>
                  <w:vAlign w:val="center"/>
                </w:tcPr>
                <w:p>
                  <w:pPr>
                    <w:jc w:val="center"/>
                    <w:rPr>
                      <w:color w:val="auto"/>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压缩空气</w:t>
                  </w:r>
                </w:p>
              </w:tc>
              <w:tc>
                <w:tcPr>
                  <w:tcW w:w="5213" w:type="dxa"/>
                  <w:tcBorders>
                    <w:top w:val="single" w:color="auto" w:sz="4" w:space="0"/>
                    <w:left w:val="single" w:color="auto" w:sz="4" w:space="0"/>
                    <w:bottom w:val="single" w:color="auto" w:sz="4" w:space="0"/>
                    <w:right w:val="single" w:color="auto" w:sz="4" w:space="0"/>
                  </w:tcBorders>
                  <w:vAlign w:val="center"/>
                </w:tcPr>
                <w:p>
                  <w:pPr>
                    <w:jc w:val="left"/>
                    <w:rPr>
                      <w:color w:val="auto"/>
                    </w:rPr>
                  </w:pPr>
                  <w:r>
                    <w:rPr>
                      <w:rFonts w:hint="eastAsia"/>
                      <w:color w:val="auto"/>
                    </w:rPr>
                    <w:t>新建6</w:t>
                  </w:r>
                  <w:r>
                    <w:rPr>
                      <w:color w:val="auto"/>
                    </w:rPr>
                    <w:t>.8</w:t>
                  </w:r>
                  <w:r>
                    <w:rPr>
                      <w:rFonts w:hint="eastAsia"/>
                      <w:color w:val="auto"/>
                    </w:rPr>
                    <w:t>m</w:t>
                  </w:r>
                  <w:r>
                    <w:rPr>
                      <w:color w:val="auto"/>
                      <w:vertAlign w:val="superscript"/>
                    </w:rPr>
                    <w:t>3</w:t>
                  </w:r>
                  <w:r>
                    <w:rPr>
                      <w:color w:val="auto"/>
                    </w:rPr>
                    <w:t>/</w:t>
                  </w:r>
                  <w:r>
                    <w:rPr>
                      <w:rFonts w:hint="eastAsia"/>
                      <w:color w:val="auto"/>
                    </w:rPr>
                    <w:t>min空压机3台，配套建设10m</w:t>
                  </w:r>
                  <w:r>
                    <w:rPr>
                      <w:rFonts w:hint="eastAsia"/>
                      <w:color w:val="auto"/>
                      <w:vertAlign w:val="superscript"/>
                    </w:rPr>
                    <w:t>3</w:t>
                  </w:r>
                  <w:r>
                    <w:rPr>
                      <w:rFonts w:hint="eastAsia"/>
                      <w:color w:val="auto"/>
                    </w:rPr>
                    <w:t>储气罐2台、5m</w:t>
                  </w:r>
                  <w:r>
                    <w:rPr>
                      <w:rFonts w:hint="eastAsia"/>
                      <w:color w:val="auto"/>
                      <w:vertAlign w:val="superscript"/>
                    </w:rPr>
                    <w:t>3</w:t>
                  </w:r>
                  <w:r>
                    <w:rPr>
                      <w:rFonts w:hint="eastAsia"/>
                      <w:color w:val="auto"/>
                    </w:rPr>
                    <w:t>储气罐1台，为3套脱硫除尘系统袋式除尘器、脱硫塔供应压缩空气</w:t>
                  </w:r>
                </w:p>
              </w:tc>
              <w:tc>
                <w:tcPr>
                  <w:tcW w:w="120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 w:hRule="atLeast"/>
                <w:jc w:val="center"/>
              </w:trPr>
              <w:tc>
                <w:tcPr>
                  <w:tcW w:w="1460" w:type="dxa"/>
                  <w:gridSpan w:val="2"/>
                  <w:vMerge w:val="restart"/>
                  <w:tcBorders>
                    <w:top w:val="single" w:color="auto" w:sz="4" w:space="0"/>
                    <w:left w:val="single" w:color="auto" w:sz="4" w:space="0"/>
                    <w:right w:val="single" w:color="auto" w:sz="4" w:space="0"/>
                  </w:tcBorders>
                  <w:vAlign w:val="center"/>
                </w:tcPr>
                <w:p>
                  <w:pPr>
                    <w:jc w:val="center"/>
                    <w:rPr>
                      <w:color w:val="auto"/>
                    </w:rPr>
                  </w:pPr>
                  <w:r>
                    <w:rPr>
                      <w:color w:val="auto"/>
                    </w:rPr>
                    <w:t>环保工程</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废气</w:t>
                  </w:r>
                </w:p>
              </w:tc>
              <w:tc>
                <w:tcPr>
                  <w:tcW w:w="5213" w:type="dxa"/>
                  <w:tcBorders>
                    <w:top w:val="single" w:color="auto" w:sz="4" w:space="0"/>
                    <w:left w:val="single" w:color="auto" w:sz="4" w:space="0"/>
                    <w:bottom w:val="single" w:color="auto" w:sz="4" w:space="0"/>
                    <w:right w:val="single" w:color="auto" w:sz="4" w:space="0"/>
                  </w:tcBorders>
                  <w:vAlign w:val="center"/>
                </w:tcPr>
                <w:p>
                  <w:pPr>
                    <w:jc w:val="left"/>
                    <w:rPr>
                      <w:color w:val="auto"/>
                    </w:rPr>
                  </w:pPr>
                  <w:r>
                    <w:rPr>
                      <w:rFonts w:hint="eastAsia"/>
                      <w:color w:val="auto"/>
                    </w:rPr>
                    <w:t>锅炉烟气经氨法脱硫+布袋除尘器处理后经80m烟囱排放</w:t>
                  </w:r>
                </w:p>
              </w:tc>
              <w:tc>
                <w:tcPr>
                  <w:tcW w:w="120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脱硫除尘系统新建，烟囱依托现有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460" w:type="dxa"/>
                  <w:gridSpan w:val="2"/>
                  <w:vMerge w:val="continue"/>
                  <w:tcBorders>
                    <w:left w:val="single" w:color="auto" w:sz="4" w:space="0"/>
                    <w:right w:val="single" w:color="auto" w:sz="4" w:space="0"/>
                  </w:tcBorders>
                  <w:vAlign w:val="center"/>
                </w:tcPr>
                <w:p>
                  <w:pPr>
                    <w:jc w:val="center"/>
                    <w:rPr>
                      <w:color w:val="auto"/>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废水</w:t>
                  </w:r>
                </w:p>
              </w:tc>
              <w:tc>
                <w:tcPr>
                  <w:tcW w:w="521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生产过程无废水排放</w:t>
                  </w:r>
                </w:p>
              </w:tc>
              <w:tc>
                <w:tcPr>
                  <w:tcW w:w="120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460" w:type="dxa"/>
                  <w:gridSpan w:val="2"/>
                  <w:vMerge w:val="continue"/>
                  <w:tcBorders>
                    <w:left w:val="single" w:color="auto" w:sz="4" w:space="0"/>
                    <w:right w:val="single" w:color="auto" w:sz="4" w:space="0"/>
                  </w:tcBorders>
                  <w:vAlign w:val="center"/>
                </w:tcPr>
                <w:p>
                  <w:pPr>
                    <w:jc w:val="center"/>
                    <w:rPr>
                      <w:color w:val="auto"/>
                    </w:rPr>
                  </w:pPr>
                </w:p>
              </w:tc>
              <w:tc>
                <w:tcPr>
                  <w:tcW w:w="1276" w:type="dxa"/>
                  <w:tcBorders>
                    <w:top w:val="single" w:color="auto" w:sz="4" w:space="0"/>
                    <w:left w:val="single" w:color="auto" w:sz="4" w:space="0"/>
                    <w:right w:val="single" w:color="auto" w:sz="4" w:space="0"/>
                  </w:tcBorders>
                  <w:vAlign w:val="center"/>
                </w:tcPr>
                <w:p>
                  <w:pPr>
                    <w:jc w:val="center"/>
                    <w:rPr>
                      <w:color w:val="auto"/>
                    </w:rPr>
                  </w:pPr>
                  <w:r>
                    <w:rPr>
                      <w:color w:val="auto"/>
                    </w:rPr>
                    <w:t>固废</w:t>
                  </w:r>
                </w:p>
              </w:tc>
              <w:tc>
                <w:tcPr>
                  <w:tcW w:w="5213" w:type="dxa"/>
                  <w:tcBorders>
                    <w:top w:val="single" w:color="auto" w:sz="4" w:space="0"/>
                    <w:left w:val="single" w:color="auto" w:sz="4" w:space="0"/>
                    <w:right w:val="single" w:color="auto" w:sz="4" w:space="0"/>
                  </w:tcBorders>
                  <w:vAlign w:val="center"/>
                </w:tcPr>
                <w:p>
                  <w:pPr>
                    <w:jc w:val="center"/>
                    <w:rPr>
                      <w:color w:val="auto"/>
                    </w:rPr>
                  </w:pPr>
                  <w:r>
                    <w:rPr>
                      <w:rFonts w:hint="eastAsia"/>
                      <w:color w:val="auto"/>
                    </w:rPr>
                    <w:t>本项目无固废产生</w:t>
                  </w:r>
                </w:p>
              </w:tc>
              <w:tc>
                <w:tcPr>
                  <w:tcW w:w="1206" w:type="dxa"/>
                  <w:tcBorders>
                    <w:top w:val="single" w:color="auto" w:sz="4" w:space="0"/>
                    <w:left w:val="single" w:color="auto" w:sz="4" w:space="0"/>
                    <w:right w:val="single" w:color="auto" w:sz="4" w:space="0"/>
                  </w:tcBorders>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 w:hRule="atLeast"/>
                <w:jc w:val="center"/>
              </w:trPr>
              <w:tc>
                <w:tcPr>
                  <w:tcW w:w="1460" w:type="dxa"/>
                  <w:gridSpan w:val="2"/>
                  <w:vMerge w:val="continue"/>
                  <w:tcBorders>
                    <w:left w:val="single" w:color="auto" w:sz="4" w:space="0"/>
                    <w:right w:val="single" w:color="auto" w:sz="4" w:space="0"/>
                  </w:tcBorders>
                  <w:vAlign w:val="center"/>
                </w:tcPr>
                <w:p>
                  <w:pPr>
                    <w:jc w:val="center"/>
                    <w:rPr>
                      <w:color w:val="auto"/>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噪声</w:t>
                  </w:r>
                </w:p>
              </w:tc>
              <w:tc>
                <w:tcPr>
                  <w:tcW w:w="5213" w:type="dxa"/>
                  <w:tcBorders>
                    <w:top w:val="single" w:color="auto" w:sz="4" w:space="0"/>
                    <w:left w:val="single" w:color="auto" w:sz="4" w:space="0"/>
                    <w:bottom w:val="single" w:color="auto" w:sz="4" w:space="0"/>
                    <w:right w:val="single" w:color="auto" w:sz="4" w:space="0"/>
                  </w:tcBorders>
                  <w:vAlign w:val="center"/>
                </w:tcPr>
                <w:p>
                  <w:pPr>
                    <w:pStyle w:val="60"/>
                    <w:rPr>
                      <w:color w:val="auto"/>
                    </w:rPr>
                  </w:pPr>
                  <w:r>
                    <w:rPr>
                      <w:color w:val="auto"/>
                    </w:rPr>
                    <w:t>采用低噪声设备及减震、隔声等措施</w:t>
                  </w:r>
                </w:p>
              </w:tc>
              <w:tc>
                <w:tcPr>
                  <w:tcW w:w="1206" w:type="dxa"/>
                  <w:tcBorders>
                    <w:top w:val="single" w:color="auto" w:sz="4" w:space="0"/>
                    <w:left w:val="single" w:color="auto" w:sz="4" w:space="0"/>
                    <w:bottom w:val="single" w:color="auto" w:sz="4" w:space="0"/>
                    <w:right w:val="single" w:color="auto" w:sz="4" w:space="0"/>
                  </w:tcBorders>
                  <w:vAlign w:val="center"/>
                </w:tcPr>
                <w:p>
                  <w:pPr>
                    <w:pStyle w:val="60"/>
                    <w:rPr>
                      <w:color w:val="auto"/>
                    </w:rPr>
                  </w:pPr>
                  <w:r>
                    <w:rPr>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 w:hRule="atLeast"/>
                <w:jc w:val="center"/>
              </w:trPr>
              <w:tc>
                <w:tcPr>
                  <w:tcW w:w="1460" w:type="dxa"/>
                  <w:gridSpan w:val="2"/>
                  <w:vMerge w:val="continue"/>
                  <w:tcBorders>
                    <w:left w:val="single" w:color="auto" w:sz="4" w:space="0"/>
                    <w:bottom w:val="single" w:color="auto" w:sz="4" w:space="0"/>
                    <w:right w:val="single" w:color="auto" w:sz="4" w:space="0"/>
                  </w:tcBorders>
                  <w:vAlign w:val="center"/>
                </w:tcPr>
                <w:p>
                  <w:pPr>
                    <w:jc w:val="center"/>
                    <w:rPr>
                      <w:color w:val="auto"/>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环境风险</w:t>
                  </w:r>
                </w:p>
              </w:tc>
              <w:tc>
                <w:tcPr>
                  <w:tcW w:w="5213" w:type="dxa"/>
                  <w:tcBorders>
                    <w:top w:val="single" w:color="auto" w:sz="4" w:space="0"/>
                    <w:left w:val="single" w:color="auto" w:sz="4" w:space="0"/>
                    <w:bottom w:val="single" w:color="auto" w:sz="4" w:space="0"/>
                    <w:right w:val="single" w:color="auto" w:sz="4" w:space="0"/>
                  </w:tcBorders>
                  <w:vAlign w:val="center"/>
                </w:tcPr>
                <w:p>
                  <w:pPr>
                    <w:pStyle w:val="60"/>
                    <w:rPr>
                      <w:color w:val="auto"/>
                    </w:rPr>
                  </w:pPr>
                  <w:r>
                    <w:rPr>
                      <w:rFonts w:hint="eastAsia"/>
                      <w:color w:val="auto"/>
                    </w:rPr>
                    <w:t xml:space="preserve"> 2个氨区各配套建设50m</w:t>
                  </w:r>
                  <w:r>
                    <w:rPr>
                      <w:rFonts w:hint="eastAsia"/>
                      <w:color w:val="auto"/>
                      <w:vertAlign w:val="superscript"/>
                    </w:rPr>
                    <w:t>3</w:t>
                  </w:r>
                  <w:r>
                    <w:rPr>
                      <w:rFonts w:hint="eastAsia"/>
                      <w:color w:val="auto"/>
                    </w:rPr>
                    <w:t>事故池1座</w:t>
                  </w:r>
                </w:p>
              </w:tc>
              <w:tc>
                <w:tcPr>
                  <w:tcW w:w="1206" w:type="dxa"/>
                  <w:tcBorders>
                    <w:top w:val="single" w:color="auto" w:sz="4" w:space="0"/>
                    <w:left w:val="single" w:color="auto" w:sz="4" w:space="0"/>
                    <w:bottom w:val="single" w:color="auto" w:sz="4" w:space="0"/>
                    <w:right w:val="single" w:color="auto" w:sz="4" w:space="0"/>
                  </w:tcBorders>
                  <w:vAlign w:val="center"/>
                </w:tcPr>
                <w:p>
                  <w:pPr>
                    <w:pStyle w:val="60"/>
                    <w:rPr>
                      <w:color w:val="auto"/>
                    </w:rPr>
                  </w:pPr>
                  <w:r>
                    <w:rPr>
                      <w:rFonts w:hint="eastAsia"/>
                      <w:color w:val="auto"/>
                    </w:rPr>
                    <w:t>新建</w:t>
                  </w:r>
                </w:p>
              </w:tc>
            </w:tr>
          </w:tbl>
          <w:p>
            <w:pPr>
              <w:spacing w:line="360" w:lineRule="auto"/>
              <w:ind w:firstLine="482" w:firstLineChars="200"/>
              <w:jc w:val="left"/>
              <w:rPr>
                <w:b/>
                <w:bCs/>
                <w:color w:val="auto"/>
                <w:sz w:val="24"/>
                <w:szCs w:val="24"/>
              </w:rPr>
            </w:pPr>
            <w:r>
              <w:rPr>
                <w:b/>
                <w:bCs/>
                <w:color w:val="auto"/>
                <w:sz w:val="24"/>
                <w:szCs w:val="24"/>
              </w:rPr>
              <w:t>五、主要设备</w:t>
            </w:r>
          </w:p>
          <w:p>
            <w:pPr>
              <w:spacing w:line="360" w:lineRule="auto"/>
              <w:ind w:firstLine="480" w:firstLineChars="200"/>
              <w:jc w:val="left"/>
              <w:rPr>
                <w:color w:val="auto"/>
                <w:sz w:val="24"/>
                <w:szCs w:val="24"/>
              </w:rPr>
            </w:pPr>
            <w:r>
              <w:rPr>
                <w:rFonts w:hint="eastAsia"/>
                <w:color w:val="auto"/>
                <w:sz w:val="24"/>
                <w:szCs w:val="24"/>
              </w:rPr>
              <w:t>本项目</w:t>
            </w:r>
            <w:r>
              <w:rPr>
                <w:color w:val="auto"/>
                <w:sz w:val="24"/>
                <w:szCs w:val="24"/>
              </w:rPr>
              <w:t>新增主要设备见表5。</w:t>
            </w:r>
          </w:p>
          <w:p>
            <w:pPr>
              <w:spacing w:line="360" w:lineRule="auto"/>
              <w:jc w:val="center"/>
              <w:rPr>
                <w:rFonts w:eastAsia="黑体"/>
                <w:color w:val="auto"/>
                <w:sz w:val="24"/>
                <w:szCs w:val="24"/>
              </w:rPr>
            </w:pPr>
            <w:r>
              <w:rPr>
                <w:rFonts w:eastAsia="黑体"/>
                <w:color w:val="auto"/>
                <w:sz w:val="24"/>
                <w:szCs w:val="24"/>
              </w:rPr>
              <w:t>表5  主要设施设备一览表</w:t>
            </w:r>
          </w:p>
          <w:tbl>
            <w:tblPr>
              <w:tblStyle w:val="26"/>
              <w:tblW w:w="905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08"/>
              <w:gridCol w:w="2074"/>
              <w:gridCol w:w="2942"/>
              <w:gridCol w:w="690"/>
              <w:gridCol w:w="968"/>
              <w:gridCol w:w="16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5" w:hRule="atLeast"/>
              </w:trPr>
              <w:tc>
                <w:tcPr>
                  <w:tcW w:w="708"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序号</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名称</w:t>
                  </w:r>
                </w:p>
              </w:tc>
              <w:tc>
                <w:tcPr>
                  <w:tcW w:w="2942"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型号规格及主要技术参数</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单位</w:t>
                  </w:r>
                </w:p>
              </w:tc>
              <w:tc>
                <w:tcPr>
                  <w:tcW w:w="968"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数量</w:t>
                  </w:r>
                </w:p>
              </w:tc>
              <w:tc>
                <w:tcPr>
                  <w:tcW w:w="1669"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rFonts w:ascii="宋体" w:hAnsi="宋体" w:cs="Arial"/>
                      <w:b/>
                      <w:color w:val="auto"/>
                      <w:kern w:val="0"/>
                    </w:rPr>
                  </w:pPr>
                  <w:r>
                    <w:rPr>
                      <w:rFonts w:hint="eastAsia" w:ascii="宋体" w:hAnsi="宋体" w:cs="Arial"/>
                      <w:b/>
                      <w:color w:val="auto"/>
                      <w:kern w:val="0"/>
                    </w:rPr>
                    <w:t>一</w:t>
                  </w:r>
                </w:p>
              </w:tc>
              <w:tc>
                <w:tcPr>
                  <w:tcW w:w="2074" w:type="dxa"/>
                  <w:shd w:val="clear" w:color="auto" w:fill="auto"/>
                  <w:vAlign w:val="center"/>
                </w:tcPr>
                <w:p>
                  <w:pPr>
                    <w:widowControl/>
                    <w:adjustRightInd w:val="0"/>
                    <w:snapToGrid w:val="0"/>
                    <w:jc w:val="center"/>
                    <w:rPr>
                      <w:rFonts w:ascii="宋体" w:hAnsi="宋体" w:cs="Arial"/>
                      <w:b/>
                      <w:color w:val="auto"/>
                      <w:kern w:val="0"/>
                    </w:rPr>
                  </w:pPr>
                  <w:r>
                    <w:rPr>
                      <w:rFonts w:hint="eastAsia" w:ascii="宋体" w:hAnsi="宋体" w:cs="Arial"/>
                      <w:b/>
                      <w:color w:val="auto"/>
                      <w:kern w:val="0"/>
                    </w:rPr>
                    <w:t>脱硫系统</w:t>
                  </w:r>
                </w:p>
              </w:tc>
              <w:tc>
                <w:tcPr>
                  <w:tcW w:w="2942" w:type="dxa"/>
                  <w:shd w:val="clear" w:color="auto" w:fill="auto"/>
                  <w:vAlign w:val="center"/>
                </w:tcPr>
                <w:p>
                  <w:pPr>
                    <w:widowControl/>
                    <w:adjustRightInd w:val="0"/>
                    <w:snapToGrid w:val="0"/>
                    <w:jc w:val="center"/>
                    <w:rPr>
                      <w:rFonts w:ascii="黑体" w:hAnsi="黑体" w:eastAsia="黑体" w:cs="Arial"/>
                      <w:b/>
                      <w:bCs/>
                      <w:color w:val="auto"/>
                      <w:kern w:val="0"/>
                    </w:rPr>
                  </w:pPr>
                </w:p>
              </w:tc>
              <w:tc>
                <w:tcPr>
                  <w:tcW w:w="690" w:type="dxa"/>
                  <w:shd w:val="clear" w:color="auto" w:fill="auto"/>
                  <w:vAlign w:val="center"/>
                </w:tcPr>
                <w:p>
                  <w:pPr>
                    <w:widowControl/>
                    <w:adjustRightInd w:val="0"/>
                    <w:snapToGrid w:val="0"/>
                    <w:jc w:val="center"/>
                    <w:rPr>
                      <w:rFonts w:ascii="黑体" w:hAnsi="黑体" w:eastAsia="黑体" w:cs="Arial"/>
                      <w:b/>
                      <w:bCs/>
                      <w:color w:val="auto"/>
                      <w:kern w:val="0"/>
                    </w:rPr>
                  </w:pPr>
                  <w:r>
                    <w:rPr>
                      <w:rFonts w:hint="eastAsia" w:ascii="黑体" w:hAnsi="黑体" w:eastAsia="黑体" w:cs="Arial"/>
                      <w:b/>
                      <w:bCs/>
                      <w:color w:val="auto"/>
                      <w:kern w:val="0"/>
                    </w:rPr>
                    <w:t>套</w:t>
                  </w:r>
                </w:p>
              </w:tc>
              <w:tc>
                <w:tcPr>
                  <w:tcW w:w="968" w:type="dxa"/>
                  <w:shd w:val="clear" w:color="auto" w:fill="auto"/>
                  <w:vAlign w:val="center"/>
                </w:tcPr>
                <w:p>
                  <w:pPr>
                    <w:widowControl/>
                    <w:adjustRightInd w:val="0"/>
                    <w:snapToGrid w:val="0"/>
                    <w:jc w:val="center"/>
                    <w:rPr>
                      <w:b/>
                      <w:bCs/>
                      <w:color w:val="auto"/>
                      <w:kern w:val="0"/>
                    </w:rPr>
                  </w:pPr>
                  <w:r>
                    <w:rPr>
                      <w:rFonts w:hint="eastAsia"/>
                      <w:b/>
                      <w:bCs/>
                      <w:color w:val="auto"/>
                      <w:kern w:val="0"/>
                    </w:rPr>
                    <w:t>3</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脱硫塔</w:t>
                  </w:r>
                </w:p>
              </w:tc>
              <w:tc>
                <w:tcPr>
                  <w:tcW w:w="2942" w:type="dxa"/>
                  <w:shd w:val="clear" w:color="auto" w:fill="auto"/>
                  <w:vAlign w:val="center"/>
                </w:tcPr>
                <w:p>
                  <w:pPr>
                    <w:widowControl/>
                    <w:adjustRightInd w:val="0"/>
                    <w:snapToGrid w:val="0"/>
                    <w:jc w:val="center"/>
                    <w:rPr>
                      <w:color w:val="auto"/>
                      <w:kern w:val="0"/>
                    </w:rPr>
                  </w:pPr>
                  <w:r>
                    <w:rPr>
                      <w:rFonts w:hint="eastAsia"/>
                      <w:color w:val="auto"/>
                      <w:kern w:val="0"/>
                    </w:rPr>
                    <w:t>LTLT-90,900000m</w:t>
                  </w:r>
                  <w:r>
                    <w:rPr>
                      <w:rFonts w:hint="eastAsia"/>
                      <w:color w:val="auto"/>
                      <w:kern w:val="0"/>
                      <w:vertAlign w:val="superscript"/>
                    </w:rPr>
                    <w:t>3</w:t>
                  </w:r>
                  <w:r>
                    <w:rPr>
                      <w:rFonts w:hint="eastAsia"/>
                      <w:color w:val="auto"/>
                      <w:kern w:val="0"/>
                    </w:rPr>
                    <w:t>/h(工)</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套</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3</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2</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除液滴装置</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套</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3</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双流体喷枪</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支</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42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4</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喷淋装置</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套</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3</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5</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纳米防腐耐磨涂层</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color w:val="auto"/>
                      <w:kern w:val="0"/>
                    </w:rPr>
                  </w:pPr>
                  <w:r>
                    <w:rPr>
                      <w:color w:val="auto"/>
                      <w:kern w:val="0"/>
                    </w:rPr>
                    <w:t>M2</w:t>
                  </w:r>
                </w:p>
              </w:tc>
              <w:tc>
                <w:tcPr>
                  <w:tcW w:w="968" w:type="dxa"/>
                  <w:shd w:val="clear" w:color="auto" w:fill="auto"/>
                  <w:vAlign w:val="center"/>
                </w:tcPr>
                <w:p>
                  <w:pPr>
                    <w:widowControl/>
                    <w:adjustRightInd w:val="0"/>
                    <w:snapToGrid w:val="0"/>
                    <w:jc w:val="center"/>
                    <w:rPr>
                      <w:color w:val="auto"/>
                      <w:kern w:val="0"/>
                    </w:rPr>
                  </w:pPr>
                  <w:r>
                    <w:rPr>
                      <w:color w:val="auto"/>
                      <w:kern w:val="0"/>
                    </w:rPr>
                    <w:t>398</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6</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分配器</w:t>
                  </w:r>
                </w:p>
              </w:tc>
              <w:tc>
                <w:tcPr>
                  <w:tcW w:w="2942"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不锈钢</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套</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3</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7</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电磁流量计</w:t>
                  </w:r>
                </w:p>
              </w:tc>
              <w:tc>
                <w:tcPr>
                  <w:tcW w:w="2942" w:type="dxa"/>
                  <w:shd w:val="clear" w:color="auto" w:fill="auto"/>
                  <w:vAlign w:val="center"/>
                </w:tcPr>
                <w:p>
                  <w:pPr>
                    <w:widowControl/>
                    <w:adjustRightInd w:val="0"/>
                    <w:snapToGrid w:val="0"/>
                    <w:jc w:val="center"/>
                    <w:rPr>
                      <w:color w:val="auto"/>
                      <w:kern w:val="0"/>
                    </w:rPr>
                  </w:pPr>
                  <w:r>
                    <w:rPr>
                      <w:color w:val="auto"/>
                      <w:kern w:val="0"/>
                    </w:rPr>
                    <w:t>FM-15T41241 EAB-1/JQ</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21</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8</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压力变送器</w:t>
                  </w:r>
                </w:p>
              </w:tc>
              <w:tc>
                <w:tcPr>
                  <w:tcW w:w="2942" w:type="dxa"/>
                  <w:shd w:val="clear" w:color="auto" w:fill="auto"/>
                  <w:vAlign w:val="center"/>
                </w:tcPr>
                <w:p>
                  <w:pPr>
                    <w:widowControl/>
                    <w:adjustRightInd w:val="0"/>
                    <w:snapToGrid w:val="0"/>
                    <w:jc w:val="center"/>
                    <w:rPr>
                      <w:color w:val="auto"/>
                      <w:kern w:val="0"/>
                    </w:rPr>
                  </w:pPr>
                  <w:r>
                    <w:rPr>
                      <w:color w:val="auto"/>
                      <w:kern w:val="0"/>
                    </w:rPr>
                    <w:t>JQ3151GP7S22M4</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24</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9</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电动调节阀</w:t>
                  </w:r>
                </w:p>
              </w:tc>
              <w:tc>
                <w:tcPr>
                  <w:tcW w:w="2942" w:type="dxa"/>
                  <w:shd w:val="clear" w:color="auto" w:fill="auto"/>
                  <w:vAlign w:val="center"/>
                </w:tcPr>
                <w:p>
                  <w:pPr>
                    <w:widowControl/>
                    <w:adjustRightInd w:val="0"/>
                    <w:snapToGrid w:val="0"/>
                    <w:jc w:val="center"/>
                    <w:rPr>
                      <w:color w:val="auto"/>
                      <w:kern w:val="0"/>
                    </w:rPr>
                  </w:pPr>
                  <w:r>
                    <w:rPr>
                      <w:color w:val="auto"/>
                      <w:kern w:val="0"/>
                    </w:rPr>
                    <w:t>ZRSP-16P</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21</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10</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手动球阀</w:t>
                  </w:r>
                </w:p>
              </w:tc>
              <w:tc>
                <w:tcPr>
                  <w:tcW w:w="2942" w:type="dxa"/>
                  <w:shd w:val="clear" w:color="auto" w:fill="auto"/>
                  <w:vAlign w:val="center"/>
                </w:tcPr>
                <w:p>
                  <w:pPr>
                    <w:widowControl/>
                    <w:adjustRightInd w:val="0"/>
                    <w:snapToGrid w:val="0"/>
                    <w:jc w:val="center"/>
                    <w:rPr>
                      <w:color w:val="auto"/>
                      <w:kern w:val="0"/>
                    </w:rPr>
                  </w:pPr>
                  <w:r>
                    <w:rPr>
                      <w:color w:val="auto"/>
                      <w:kern w:val="0"/>
                    </w:rPr>
                    <w:t>DN15</w:t>
                  </w:r>
                  <w:r>
                    <w:rPr>
                      <w:rFonts w:hint="eastAsia" w:ascii="宋体" w:hAnsi="宋体"/>
                      <w:color w:val="auto"/>
                      <w:kern w:val="0"/>
                    </w:rPr>
                    <w:t>不锈钢</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42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11</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精密过滤器</w:t>
                  </w:r>
                </w:p>
              </w:tc>
              <w:tc>
                <w:tcPr>
                  <w:tcW w:w="2942" w:type="dxa"/>
                  <w:shd w:val="clear" w:color="auto" w:fill="auto"/>
                  <w:vAlign w:val="center"/>
                </w:tcPr>
                <w:p>
                  <w:pPr>
                    <w:widowControl/>
                    <w:adjustRightInd w:val="0"/>
                    <w:snapToGrid w:val="0"/>
                    <w:jc w:val="center"/>
                    <w:rPr>
                      <w:color w:val="auto"/>
                      <w:kern w:val="0"/>
                    </w:rPr>
                  </w:pPr>
                  <w:r>
                    <w:rPr>
                      <w:color w:val="auto"/>
                      <w:kern w:val="0"/>
                    </w:rPr>
                    <w:t>DN15</w:t>
                  </w:r>
                  <w:r>
                    <w:rPr>
                      <w:rFonts w:hint="eastAsia" w:ascii="宋体" w:hAnsi="宋体"/>
                      <w:color w:val="auto"/>
                      <w:kern w:val="0"/>
                    </w:rPr>
                    <w:t>不锈钢</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21</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12</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电动球阀</w:t>
                  </w:r>
                </w:p>
              </w:tc>
              <w:tc>
                <w:tcPr>
                  <w:tcW w:w="2942" w:type="dxa"/>
                  <w:shd w:val="clear" w:color="auto" w:fill="auto"/>
                  <w:vAlign w:val="center"/>
                </w:tcPr>
                <w:p>
                  <w:pPr>
                    <w:widowControl/>
                    <w:adjustRightInd w:val="0"/>
                    <w:snapToGrid w:val="0"/>
                    <w:jc w:val="center"/>
                    <w:rPr>
                      <w:color w:val="auto"/>
                      <w:kern w:val="0"/>
                    </w:rPr>
                  </w:pPr>
                  <w:r>
                    <w:rPr>
                      <w:color w:val="auto"/>
                      <w:kern w:val="0"/>
                    </w:rPr>
                    <w:t>DN40</w:t>
                  </w:r>
                  <w:r>
                    <w:rPr>
                      <w:rFonts w:hint="eastAsia" w:ascii="宋体" w:hAnsi="宋体"/>
                      <w:color w:val="auto"/>
                      <w:kern w:val="0"/>
                    </w:rPr>
                    <w:t>不锈钢</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6</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13</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手动球阀</w:t>
                  </w:r>
                </w:p>
              </w:tc>
              <w:tc>
                <w:tcPr>
                  <w:tcW w:w="2942" w:type="dxa"/>
                  <w:shd w:val="clear" w:color="auto" w:fill="auto"/>
                  <w:vAlign w:val="center"/>
                </w:tcPr>
                <w:p>
                  <w:pPr>
                    <w:widowControl/>
                    <w:adjustRightInd w:val="0"/>
                    <w:snapToGrid w:val="0"/>
                    <w:jc w:val="center"/>
                    <w:rPr>
                      <w:color w:val="auto"/>
                      <w:kern w:val="0"/>
                    </w:rPr>
                  </w:pPr>
                  <w:r>
                    <w:rPr>
                      <w:color w:val="auto"/>
                      <w:kern w:val="0"/>
                    </w:rPr>
                    <w:t>DN40</w:t>
                  </w:r>
                  <w:r>
                    <w:rPr>
                      <w:rFonts w:hint="eastAsia" w:ascii="宋体" w:hAnsi="宋体"/>
                      <w:color w:val="auto"/>
                      <w:kern w:val="0"/>
                    </w:rPr>
                    <w:t>不锈钢</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12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14</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单向阀</w:t>
                  </w:r>
                </w:p>
              </w:tc>
              <w:tc>
                <w:tcPr>
                  <w:tcW w:w="2942" w:type="dxa"/>
                  <w:shd w:val="clear" w:color="auto" w:fill="auto"/>
                  <w:vAlign w:val="center"/>
                </w:tcPr>
                <w:p>
                  <w:pPr>
                    <w:widowControl/>
                    <w:adjustRightInd w:val="0"/>
                    <w:snapToGrid w:val="0"/>
                    <w:jc w:val="center"/>
                    <w:rPr>
                      <w:color w:val="auto"/>
                      <w:kern w:val="0"/>
                    </w:rPr>
                  </w:pPr>
                  <w:r>
                    <w:rPr>
                      <w:color w:val="auto"/>
                      <w:kern w:val="0"/>
                    </w:rPr>
                    <w:t>DN40</w:t>
                  </w:r>
                  <w:r>
                    <w:rPr>
                      <w:rFonts w:hint="eastAsia" w:ascii="宋体" w:hAnsi="宋体"/>
                      <w:color w:val="auto"/>
                      <w:kern w:val="0"/>
                    </w:rPr>
                    <w:t>不锈钢</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6</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15</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保安过滤器</w:t>
                  </w:r>
                </w:p>
              </w:tc>
              <w:tc>
                <w:tcPr>
                  <w:tcW w:w="2942" w:type="dxa"/>
                  <w:shd w:val="clear" w:color="auto" w:fill="auto"/>
                  <w:vAlign w:val="center"/>
                </w:tcPr>
                <w:p>
                  <w:pPr>
                    <w:widowControl/>
                    <w:adjustRightInd w:val="0"/>
                    <w:snapToGrid w:val="0"/>
                    <w:jc w:val="center"/>
                    <w:rPr>
                      <w:color w:val="auto"/>
                      <w:kern w:val="0"/>
                    </w:rPr>
                  </w:pPr>
                  <w:r>
                    <w:rPr>
                      <w:color w:val="auto"/>
                      <w:kern w:val="0"/>
                    </w:rPr>
                    <w:t>DN80</w:t>
                  </w:r>
                  <w:r>
                    <w:rPr>
                      <w:rFonts w:hint="eastAsia" w:ascii="宋体" w:hAnsi="宋体"/>
                      <w:color w:val="auto"/>
                      <w:kern w:val="0"/>
                    </w:rPr>
                    <w:t>不锈钢</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3</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16</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电动调节阀</w:t>
                  </w:r>
                </w:p>
              </w:tc>
              <w:tc>
                <w:tcPr>
                  <w:tcW w:w="2942" w:type="dxa"/>
                  <w:shd w:val="clear" w:color="auto" w:fill="auto"/>
                  <w:vAlign w:val="center"/>
                </w:tcPr>
                <w:p>
                  <w:pPr>
                    <w:widowControl/>
                    <w:adjustRightInd w:val="0"/>
                    <w:snapToGrid w:val="0"/>
                    <w:jc w:val="center"/>
                    <w:rPr>
                      <w:color w:val="auto"/>
                      <w:kern w:val="0"/>
                    </w:rPr>
                  </w:pPr>
                  <w:r>
                    <w:rPr>
                      <w:color w:val="auto"/>
                      <w:kern w:val="0"/>
                    </w:rPr>
                    <w:t>DN50</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3</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17</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压力变送器</w:t>
                  </w:r>
                </w:p>
              </w:tc>
              <w:tc>
                <w:tcPr>
                  <w:tcW w:w="2942" w:type="dxa"/>
                  <w:shd w:val="clear" w:color="auto" w:fill="auto"/>
                  <w:vAlign w:val="center"/>
                </w:tcPr>
                <w:p>
                  <w:pPr>
                    <w:widowControl/>
                    <w:adjustRightInd w:val="0"/>
                    <w:snapToGrid w:val="0"/>
                    <w:jc w:val="center"/>
                    <w:rPr>
                      <w:color w:val="auto"/>
                      <w:kern w:val="0"/>
                    </w:rPr>
                  </w:pPr>
                  <w:r>
                    <w:rPr>
                      <w:color w:val="auto"/>
                      <w:kern w:val="0"/>
                    </w:rPr>
                    <w:t>DN50</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3</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18</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压力表</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21</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19</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电磁阀</w:t>
                  </w:r>
                </w:p>
              </w:tc>
              <w:tc>
                <w:tcPr>
                  <w:tcW w:w="2942" w:type="dxa"/>
                  <w:shd w:val="clear" w:color="auto" w:fill="auto"/>
                  <w:vAlign w:val="center"/>
                </w:tcPr>
                <w:p>
                  <w:pPr>
                    <w:widowControl/>
                    <w:adjustRightInd w:val="0"/>
                    <w:snapToGrid w:val="0"/>
                    <w:jc w:val="center"/>
                    <w:rPr>
                      <w:color w:val="auto"/>
                      <w:kern w:val="0"/>
                    </w:rPr>
                  </w:pPr>
                  <w:r>
                    <w:rPr>
                      <w:color w:val="auto"/>
                      <w:kern w:val="0"/>
                    </w:rPr>
                    <w:t>DN25</w:t>
                  </w:r>
                  <w:r>
                    <w:rPr>
                      <w:rFonts w:hint="eastAsia" w:ascii="宋体" w:hAnsi="宋体"/>
                      <w:color w:val="auto"/>
                      <w:kern w:val="0"/>
                    </w:rPr>
                    <w:t>不锈钢</w:t>
                  </w:r>
                </w:p>
              </w:tc>
              <w:tc>
                <w:tcPr>
                  <w:tcW w:w="690" w:type="dxa"/>
                  <w:shd w:val="clear" w:color="000000" w:fill="FFFFFF"/>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000000" w:fill="FFFFFF"/>
                  <w:vAlign w:val="center"/>
                </w:tcPr>
                <w:p>
                  <w:pPr>
                    <w:widowControl/>
                    <w:adjustRightInd w:val="0"/>
                    <w:snapToGrid w:val="0"/>
                    <w:jc w:val="center"/>
                    <w:rPr>
                      <w:color w:val="auto"/>
                      <w:kern w:val="0"/>
                    </w:rPr>
                  </w:pPr>
                  <w:r>
                    <w:rPr>
                      <w:rFonts w:hint="eastAsia"/>
                      <w:color w:val="auto"/>
                      <w:kern w:val="0"/>
                    </w:rPr>
                    <w:t>6</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rFonts w:ascii="宋体" w:hAnsi="宋体" w:cs="Arial"/>
                      <w:b/>
                      <w:color w:val="auto"/>
                      <w:kern w:val="0"/>
                    </w:rPr>
                  </w:pPr>
                  <w:r>
                    <w:rPr>
                      <w:rFonts w:hint="eastAsia" w:ascii="宋体" w:hAnsi="宋体" w:cs="Arial"/>
                      <w:b/>
                      <w:color w:val="auto"/>
                      <w:kern w:val="0"/>
                    </w:rPr>
                    <w:t>二</w:t>
                  </w:r>
                </w:p>
              </w:tc>
              <w:tc>
                <w:tcPr>
                  <w:tcW w:w="2074" w:type="dxa"/>
                  <w:shd w:val="clear" w:color="auto" w:fill="auto"/>
                  <w:vAlign w:val="center"/>
                </w:tcPr>
                <w:p>
                  <w:pPr>
                    <w:widowControl/>
                    <w:adjustRightInd w:val="0"/>
                    <w:snapToGrid w:val="0"/>
                    <w:jc w:val="center"/>
                    <w:rPr>
                      <w:rFonts w:ascii="宋体" w:hAnsi="宋体" w:cs="Arial"/>
                      <w:b/>
                      <w:color w:val="auto"/>
                      <w:kern w:val="0"/>
                    </w:rPr>
                  </w:pPr>
                  <w:r>
                    <w:rPr>
                      <w:rFonts w:hint="eastAsia" w:ascii="宋体" w:hAnsi="宋体" w:cs="Arial"/>
                      <w:b/>
                      <w:color w:val="auto"/>
                      <w:kern w:val="0"/>
                    </w:rPr>
                    <w:t>储、供氨系统</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color w:val="auto"/>
                      <w:kern w:val="0"/>
                    </w:rPr>
                  </w:pPr>
                </w:p>
              </w:tc>
              <w:tc>
                <w:tcPr>
                  <w:tcW w:w="968" w:type="dxa"/>
                  <w:shd w:val="clear" w:color="auto" w:fill="auto"/>
                  <w:vAlign w:val="center"/>
                </w:tcPr>
                <w:p>
                  <w:pPr>
                    <w:widowControl/>
                    <w:adjustRightInd w:val="0"/>
                    <w:snapToGrid w:val="0"/>
                    <w:jc w:val="center"/>
                    <w:rPr>
                      <w:color w:val="auto"/>
                      <w:kern w:val="0"/>
                    </w:rPr>
                  </w:pP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浓氨罐</w:t>
                  </w:r>
                </w:p>
              </w:tc>
              <w:tc>
                <w:tcPr>
                  <w:tcW w:w="2942" w:type="dxa"/>
                  <w:shd w:val="clear" w:color="auto" w:fill="auto"/>
                  <w:vAlign w:val="center"/>
                </w:tcPr>
                <w:p>
                  <w:pPr>
                    <w:widowControl/>
                    <w:adjustRightInd w:val="0"/>
                    <w:snapToGrid w:val="0"/>
                    <w:jc w:val="center"/>
                    <w:rPr>
                      <w:color w:val="auto"/>
                      <w:kern w:val="0"/>
                    </w:rPr>
                  </w:pPr>
                  <w:r>
                    <w:rPr>
                      <w:rFonts w:hint="eastAsia"/>
                      <w:color w:val="auto"/>
                      <w:kern w:val="0"/>
                    </w:rPr>
                    <w:t>50m</w:t>
                  </w:r>
                  <w:r>
                    <w:rPr>
                      <w:rFonts w:hint="eastAsia"/>
                      <w:color w:val="auto"/>
                      <w:kern w:val="0"/>
                      <w:vertAlign w:val="superscript"/>
                    </w:rPr>
                    <w:t>3</w:t>
                  </w:r>
                </w:p>
              </w:tc>
              <w:tc>
                <w:tcPr>
                  <w:tcW w:w="690" w:type="dxa"/>
                  <w:shd w:val="clear" w:color="auto" w:fill="auto"/>
                  <w:vAlign w:val="center"/>
                </w:tcPr>
                <w:p>
                  <w:pPr>
                    <w:widowControl/>
                    <w:adjustRightInd w:val="0"/>
                    <w:snapToGrid w:val="0"/>
                    <w:jc w:val="center"/>
                    <w:rPr>
                      <w:color w:val="auto"/>
                      <w:kern w:val="0"/>
                    </w:rPr>
                  </w:pPr>
                  <w:r>
                    <w:rPr>
                      <w:rFonts w:hint="eastAsia"/>
                      <w:color w:val="auto"/>
                      <w:kern w:val="0"/>
                    </w:rPr>
                    <w:t>座</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2</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稀氨罐</w:t>
                  </w:r>
                </w:p>
              </w:tc>
              <w:tc>
                <w:tcPr>
                  <w:tcW w:w="2942" w:type="dxa"/>
                  <w:shd w:val="clear" w:color="auto" w:fill="auto"/>
                  <w:vAlign w:val="center"/>
                </w:tcPr>
                <w:p>
                  <w:pPr>
                    <w:widowControl/>
                    <w:adjustRightInd w:val="0"/>
                    <w:snapToGrid w:val="0"/>
                    <w:jc w:val="center"/>
                    <w:rPr>
                      <w:color w:val="auto"/>
                      <w:kern w:val="0"/>
                    </w:rPr>
                  </w:pPr>
                  <w:r>
                    <w:rPr>
                      <w:rFonts w:hint="eastAsia"/>
                      <w:color w:val="auto"/>
                      <w:kern w:val="0"/>
                    </w:rPr>
                    <w:t>50m</w:t>
                  </w:r>
                  <w:r>
                    <w:rPr>
                      <w:rFonts w:hint="eastAsia"/>
                      <w:color w:val="auto"/>
                      <w:kern w:val="0"/>
                      <w:vertAlign w:val="superscript"/>
                    </w:rPr>
                    <w:t>3</w:t>
                  </w:r>
                </w:p>
              </w:tc>
              <w:tc>
                <w:tcPr>
                  <w:tcW w:w="690" w:type="dxa"/>
                  <w:shd w:val="clear" w:color="auto" w:fill="auto"/>
                  <w:vAlign w:val="center"/>
                </w:tcPr>
                <w:p>
                  <w:pPr>
                    <w:widowControl/>
                    <w:adjustRightInd w:val="0"/>
                    <w:snapToGrid w:val="0"/>
                    <w:jc w:val="center"/>
                    <w:rPr>
                      <w:color w:val="auto"/>
                      <w:kern w:val="0"/>
                    </w:rPr>
                  </w:pPr>
                  <w:r>
                    <w:rPr>
                      <w:rFonts w:hint="eastAsia"/>
                      <w:color w:val="auto"/>
                      <w:kern w:val="0"/>
                    </w:rPr>
                    <w:t>座</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4</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3</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事故水池</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color w:val="auto"/>
                      <w:kern w:val="0"/>
                    </w:rPr>
                  </w:pPr>
                  <w:r>
                    <w:rPr>
                      <w:rFonts w:hint="eastAsia"/>
                      <w:color w:val="auto"/>
                      <w:kern w:val="0"/>
                    </w:rPr>
                    <w:t>座</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4</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清水泵</w:t>
                  </w:r>
                </w:p>
              </w:tc>
              <w:tc>
                <w:tcPr>
                  <w:tcW w:w="2942" w:type="dxa"/>
                  <w:shd w:val="clear" w:color="auto" w:fill="auto"/>
                  <w:vAlign w:val="center"/>
                </w:tcPr>
                <w:p>
                  <w:pPr>
                    <w:widowControl/>
                    <w:adjustRightInd w:val="0"/>
                    <w:snapToGrid w:val="0"/>
                    <w:jc w:val="center"/>
                    <w:rPr>
                      <w:color w:val="auto"/>
                      <w:kern w:val="0"/>
                    </w:rPr>
                  </w:pPr>
                  <w:r>
                    <w:rPr>
                      <w:color w:val="auto"/>
                      <w:kern w:val="0"/>
                    </w:rPr>
                    <w:t>ISG80-60,50m</w:t>
                  </w:r>
                  <w:r>
                    <w:rPr>
                      <w:color w:val="auto"/>
                      <w:kern w:val="0"/>
                      <w:vertAlign w:val="superscript"/>
                    </w:rPr>
                    <w:t>3</w:t>
                  </w:r>
                  <w:r>
                    <w:rPr>
                      <w:color w:val="auto"/>
                      <w:kern w:val="0"/>
                    </w:rPr>
                    <w:t>/h, 7.5kW</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color w:val="auto"/>
                      <w:kern w:val="0"/>
                    </w:rPr>
                    <w:t>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5</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卸氨泵</w:t>
                  </w:r>
                </w:p>
              </w:tc>
              <w:tc>
                <w:tcPr>
                  <w:tcW w:w="2942" w:type="dxa"/>
                  <w:shd w:val="clear" w:color="auto" w:fill="auto"/>
                  <w:vAlign w:val="center"/>
                </w:tcPr>
                <w:p>
                  <w:pPr>
                    <w:widowControl/>
                    <w:adjustRightInd w:val="0"/>
                    <w:snapToGrid w:val="0"/>
                    <w:jc w:val="center"/>
                    <w:rPr>
                      <w:color w:val="auto"/>
                      <w:kern w:val="0"/>
                    </w:rPr>
                  </w:pPr>
                  <w:r>
                    <w:rPr>
                      <w:color w:val="auto"/>
                      <w:kern w:val="0"/>
                    </w:rPr>
                    <w:t>ISG80-60,50m</w:t>
                  </w:r>
                  <w:r>
                    <w:rPr>
                      <w:color w:val="auto"/>
                      <w:kern w:val="0"/>
                      <w:vertAlign w:val="superscript"/>
                    </w:rPr>
                    <w:t>3</w:t>
                  </w:r>
                  <w:r>
                    <w:rPr>
                      <w:color w:val="auto"/>
                      <w:kern w:val="0"/>
                    </w:rPr>
                    <w:t>/h, 5.5kW</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color w:val="auto"/>
                      <w:kern w:val="0"/>
                    </w:rPr>
                    <w:t>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6</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配氨泵</w:t>
                  </w:r>
                </w:p>
              </w:tc>
              <w:tc>
                <w:tcPr>
                  <w:tcW w:w="2942" w:type="dxa"/>
                  <w:shd w:val="clear" w:color="auto" w:fill="auto"/>
                  <w:vAlign w:val="center"/>
                </w:tcPr>
                <w:p>
                  <w:pPr>
                    <w:widowControl/>
                    <w:adjustRightInd w:val="0"/>
                    <w:snapToGrid w:val="0"/>
                    <w:jc w:val="center"/>
                    <w:rPr>
                      <w:color w:val="auto"/>
                      <w:kern w:val="0"/>
                    </w:rPr>
                  </w:pPr>
                  <w:r>
                    <w:rPr>
                      <w:color w:val="auto"/>
                      <w:kern w:val="0"/>
                    </w:rPr>
                    <w:t>ISG80</w:t>
                  </w:r>
                  <w:r>
                    <w:rPr>
                      <w:rFonts w:hint="eastAsia"/>
                      <w:color w:val="auto"/>
                      <w:kern w:val="0"/>
                    </w:rPr>
                    <w:t>-</w:t>
                  </w:r>
                  <w:r>
                    <w:rPr>
                      <w:color w:val="auto"/>
                      <w:kern w:val="0"/>
                    </w:rPr>
                    <w:t>60,50m</w:t>
                  </w:r>
                  <w:r>
                    <w:rPr>
                      <w:color w:val="auto"/>
                      <w:kern w:val="0"/>
                      <w:vertAlign w:val="superscript"/>
                    </w:rPr>
                    <w:t>3</w:t>
                  </w:r>
                  <w:r>
                    <w:rPr>
                      <w:color w:val="auto"/>
                      <w:kern w:val="0"/>
                    </w:rPr>
                    <w:t>/h, 7.5kW</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color w:val="auto"/>
                      <w:kern w:val="0"/>
                    </w:rPr>
                    <w:t>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7</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喷氨泵</w:t>
                  </w:r>
                </w:p>
              </w:tc>
              <w:tc>
                <w:tcPr>
                  <w:tcW w:w="2942" w:type="dxa"/>
                  <w:shd w:val="clear" w:color="auto" w:fill="auto"/>
                  <w:vAlign w:val="center"/>
                </w:tcPr>
                <w:p>
                  <w:pPr>
                    <w:widowControl/>
                    <w:adjustRightInd w:val="0"/>
                    <w:snapToGrid w:val="0"/>
                    <w:jc w:val="center"/>
                    <w:rPr>
                      <w:color w:val="auto"/>
                      <w:kern w:val="0"/>
                    </w:rPr>
                  </w:pPr>
                  <w:r>
                    <w:rPr>
                      <w:color w:val="auto"/>
                      <w:kern w:val="0"/>
                    </w:rPr>
                    <w:t>JGGC</w:t>
                  </w:r>
                  <w:r>
                    <w:rPr>
                      <w:rFonts w:hint="eastAsia" w:ascii="宋体" w:hAnsi="宋体"/>
                      <w:color w:val="auto"/>
                      <w:kern w:val="0"/>
                    </w:rPr>
                    <w:t>（</w:t>
                  </w:r>
                  <w:r>
                    <w:rPr>
                      <w:color w:val="auto"/>
                      <w:kern w:val="0"/>
                    </w:rPr>
                    <w:t>N</w:t>
                  </w:r>
                  <w:r>
                    <w:rPr>
                      <w:rFonts w:hint="eastAsia" w:ascii="宋体" w:hAnsi="宋体"/>
                      <w:color w:val="auto"/>
                      <w:kern w:val="0"/>
                    </w:rPr>
                    <w:t>）</w:t>
                  </w:r>
                  <w:r>
                    <w:rPr>
                      <w:color w:val="auto"/>
                      <w:kern w:val="0"/>
                    </w:rPr>
                    <w:t>-2.4-168</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color w:val="auto"/>
                      <w:kern w:val="0"/>
                    </w:rPr>
                    <w:t>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8</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电动球阀</w:t>
                  </w:r>
                </w:p>
              </w:tc>
              <w:tc>
                <w:tcPr>
                  <w:tcW w:w="2942" w:type="dxa"/>
                  <w:shd w:val="clear" w:color="auto" w:fill="auto"/>
                  <w:vAlign w:val="center"/>
                </w:tcPr>
                <w:p>
                  <w:pPr>
                    <w:widowControl/>
                    <w:adjustRightInd w:val="0"/>
                    <w:snapToGrid w:val="0"/>
                    <w:jc w:val="center"/>
                    <w:rPr>
                      <w:color w:val="auto"/>
                      <w:kern w:val="0"/>
                    </w:rPr>
                  </w:pPr>
                  <w:r>
                    <w:rPr>
                      <w:color w:val="auto"/>
                      <w:kern w:val="0"/>
                    </w:rPr>
                    <w:t>DN65</w:t>
                  </w:r>
                  <w:r>
                    <w:rPr>
                      <w:rFonts w:hint="eastAsia" w:ascii="宋体" w:hAnsi="宋体"/>
                      <w:color w:val="auto"/>
                      <w:kern w:val="0"/>
                    </w:rPr>
                    <w:t>不锈钢</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color w:val="auto"/>
                      <w:kern w:val="0"/>
                    </w:rPr>
                    <w:t>6</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9</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液位变送器</w:t>
                  </w:r>
                </w:p>
              </w:tc>
              <w:tc>
                <w:tcPr>
                  <w:tcW w:w="2942" w:type="dxa"/>
                  <w:shd w:val="clear" w:color="auto" w:fill="auto"/>
                  <w:vAlign w:val="center"/>
                </w:tcPr>
                <w:p>
                  <w:pPr>
                    <w:widowControl/>
                    <w:adjustRightInd w:val="0"/>
                    <w:snapToGrid w:val="0"/>
                    <w:jc w:val="center"/>
                    <w:rPr>
                      <w:color w:val="auto"/>
                      <w:kern w:val="0"/>
                    </w:rPr>
                  </w:pPr>
                  <w:r>
                    <w:rPr>
                      <w:color w:val="auto"/>
                      <w:kern w:val="0"/>
                    </w:rPr>
                    <w:t>JQ3151LT5S22M4</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color w:val="auto"/>
                      <w:kern w:val="0"/>
                    </w:rPr>
                    <w:t>3</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10</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电磁流量计</w:t>
                  </w:r>
                </w:p>
              </w:tc>
              <w:tc>
                <w:tcPr>
                  <w:tcW w:w="2942" w:type="dxa"/>
                  <w:shd w:val="clear" w:color="auto" w:fill="auto"/>
                  <w:vAlign w:val="center"/>
                </w:tcPr>
                <w:p>
                  <w:pPr>
                    <w:widowControl/>
                    <w:adjustRightInd w:val="0"/>
                    <w:snapToGrid w:val="0"/>
                    <w:jc w:val="center"/>
                    <w:rPr>
                      <w:color w:val="auto"/>
                      <w:kern w:val="0"/>
                    </w:rPr>
                  </w:pPr>
                  <w:r>
                    <w:rPr>
                      <w:color w:val="auto"/>
                      <w:kern w:val="0"/>
                    </w:rPr>
                    <w:t>FM-5041241 EAB-1/JQ</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color w:val="auto"/>
                      <w:kern w:val="0"/>
                    </w:rPr>
                    <w:t>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rFonts w:hint="eastAsia"/>
                      <w:color w:val="auto"/>
                      <w:kern w:val="0"/>
                    </w:rPr>
                    <w:t>11</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手动球阀</w:t>
                  </w:r>
                </w:p>
              </w:tc>
              <w:tc>
                <w:tcPr>
                  <w:tcW w:w="2942" w:type="dxa"/>
                  <w:shd w:val="clear" w:color="auto" w:fill="auto"/>
                  <w:vAlign w:val="center"/>
                </w:tcPr>
                <w:p>
                  <w:pPr>
                    <w:widowControl/>
                    <w:adjustRightInd w:val="0"/>
                    <w:snapToGrid w:val="0"/>
                    <w:jc w:val="center"/>
                    <w:rPr>
                      <w:color w:val="auto"/>
                      <w:kern w:val="0"/>
                    </w:rPr>
                  </w:pPr>
                  <w:r>
                    <w:rPr>
                      <w:color w:val="auto"/>
                      <w:kern w:val="0"/>
                    </w:rPr>
                    <w:t>DN65</w:t>
                  </w:r>
                  <w:r>
                    <w:rPr>
                      <w:rFonts w:hint="eastAsia" w:ascii="宋体" w:hAnsi="宋体"/>
                      <w:color w:val="auto"/>
                      <w:kern w:val="0"/>
                    </w:rPr>
                    <w:t>不锈钢</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color w:val="auto"/>
                      <w:kern w:val="0"/>
                    </w:rPr>
                    <w:t>22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12</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单向阀</w:t>
                  </w:r>
                </w:p>
              </w:tc>
              <w:tc>
                <w:tcPr>
                  <w:tcW w:w="2942" w:type="dxa"/>
                  <w:shd w:val="clear" w:color="auto" w:fill="auto"/>
                  <w:vAlign w:val="center"/>
                </w:tcPr>
                <w:p>
                  <w:pPr>
                    <w:widowControl/>
                    <w:adjustRightInd w:val="0"/>
                    <w:snapToGrid w:val="0"/>
                    <w:jc w:val="center"/>
                    <w:rPr>
                      <w:color w:val="auto"/>
                      <w:kern w:val="0"/>
                    </w:rPr>
                  </w:pPr>
                  <w:r>
                    <w:rPr>
                      <w:color w:val="auto"/>
                      <w:kern w:val="0"/>
                    </w:rPr>
                    <w:t>DN65</w:t>
                  </w:r>
                  <w:r>
                    <w:rPr>
                      <w:rFonts w:hint="eastAsia" w:ascii="宋体" w:hAnsi="宋体"/>
                      <w:color w:val="auto"/>
                      <w:kern w:val="0"/>
                    </w:rPr>
                    <w:t>不锈钢</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color w:val="auto"/>
                      <w:kern w:val="0"/>
                    </w:rPr>
                    <w:t>1</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13</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过滤器</w:t>
                  </w:r>
                </w:p>
              </w:tc>
              <w:tc>
                <w:tcPr>
                  <w:tcW w:w="2942" w:type="dxa"/>
                  <w:shd w:val="clear" w:color="auto" w:fill="auto"/>
                  <w:vAlign w:val="center"/>
                </w:tcPr>
                <w:p>
                  <w:pPr>
                    <w:widowControl/>
                    <w:adjustRightInd w:val="0"/>
                    <w:snapToGrid w:val="0"/>
                    <w:jc w:val="center"/>
                    <w:rPr>
                      <w:color w:val="auto"/>
                      <w:kern w:val="0"/>
                    </w:rPr>
                  </w:pPr>
                  <w:r>
                    <w:rPr>
                      <w:color w:val="auto"/>
                      <w:kern w:val="0"/>
                    </w:rPr>
                    <w:t>DN65</w:t>
                  </w:r>
                  <w:r>
                    <w:rPr>
                      <w:rFonts w:hint="eastAsia" w:ascii="宋体" w:hAnsi="宋体"/>
                      <w:color w:val="auto"/>
                      <w:kern w:val="0"/>
                    </w:rPr>
                    <w:t>不锈钢</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color w:val="auto"/>
                      <w:kern w:val="0"/>
                    </w:rPr>
                    <w:t>1</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14</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呼吸阀</w:t>
                  </w:r>
                </w:p>
              </w:tc>
              <w:tc>
                <w:tcPr>
                  <w:tcW w:w="2942" w:type="dxa"/>
                  <w:shd w:val="clear" w:color="auto" w:fill="auto"/>
                  <w:vAlign w:val="center"/>
                </w:tcPr>
                <w:p>
                  <w:pPr>
                    <w:widowControl/>
                    <w:adjustRightInd w:val="0"/>
                    <w:snapToGrid w:val="0"/>
                    <w:jc w:val="center"/>
                    <w:rPr>
                      <w:color w:val="auto"/>
                      <w:kern w:val="0"/>
                    </w:rPr>
                  </w:pPr>
                  <w:r>
                    <w:rPr>
                      <w:color w:val="auto"/>
                      <w:kern w:val="0"/>
                    </w:rPr>
                    <w:t>ZRV</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color w:val="auto"/>
                      <w:kern w:val="0"/>
                    </w:rPr>
                    <w:t>3</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rFonts w:hint="eastAsia"/>
                      <w:color w:val="auto"/>
                      <w:kern w:val="0"/>
                    </w:rPr>
                    <w:t>15</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配件</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批</w:t>
                  </w:r>
                </w:p>
              </w:tc>
              <w:tc>
                <w:tcPr>
                  <w:tcW w:w="968" w:type="dxa"/>
                  <w:shd w:val="clear" w:color="auto" w:fill="auto"/>
                  <w:vAlign w:val="center"/>
                </w:tcPr>
                <w:p>
                  <w:pPr>
                    <w:widowControl/>
                    <w:adjustRightInd w:val="0"/>
                    <w:snapToGrid w:val="0"/>
                    <w:jc w:val="center"/>
                    <w:rPr>
                      <w:color w:val="auto"/>
                      <w:kern w:val="0"/>
                    </w:rPr>
                  </w:pPr>
                  <w:r>
                    <w:rPr>
                      <w:color w:val="auto"/>
                      <w:kern w:val="0"/>
                    </w:rPr>
                    <w:t>1</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rFonts w:hint="eastAsia"/>
                      <w:color w:val="auto"/>
                      <w:kern w:val="0"/>
                    </w:rPr>
                    <w:t>16</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保温及防腐</w:t>
                  </w:r>
                </w:p>
              </w:tc>
              <w:tc>
                <w:tcPr>
                  <w:tcW w:w="2942"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厚度</w:t>
                  </w:r>
                  <w:r>
                    <w:rPr>
                      <w:color w:val="auto"/>
                      <w:kern w:val="0"/>
                    </w:rPr>
                    <w:t>50</w:t>
                  </w:r>
                  <w:r>
                    <w:rPr>
                      <w:rFonts w:hint="eastAsia" w:ascii="宋体" w:hAnsi="宋体" w:cs="Arial"/>
                      <w:color w:val="auto"/>
                      <w:kern w:val="0"/>
                    </w:rPr>
                    <w:t>、板材</w:t>
                  </w:r>
                  <w:r>
                    <w:rPr>
                      <w:color w:val="auto"/>
                      <w:kern w:val="0"/>
                    </w:rPr>
                    <w:t>0.5</w:t>
                  </w:r>
                  <w:r>
                    <w:rPr>
                      <w:rFonts w:hint="eastAsia" w:ascii="宋体" w:hAnsi="宋体" w:cs="Arial"/>
                      <w:color w:val="auto"/>
                      <w:kern w:val="0"/>
                    </w:rPr>
                    <w:t>，三油两布</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批</w:t>
                  </w:r>
                </w:p>
              </w:tc>
              <w:tc>
                <w:tcPr>
                  <w:tcW w:w="968" w:type="dxa"/>
                  <w:shd w:val="clear" w:color="auto" w:fill="auto"/>
                  <w:vAlign w:val="center"/>
                </w:tcPr>
                <w:p>
                  <w:pPr>
                    <w:widowControl/>
                    <w:adjustRightInd w:val="0"/>
                    <w:snapToGrid w:val="0"/>
                    <w:jc w:val="center"/>
                    <w:rPr>
                      <w:color w:val="auto"/>
                      <w:kern w:val="0"/>
                    </w:rPr>
                  </w:pPr>
                  <w:r>
                    <w:rPr>
                      <w:color w:val="auto"/>
                      <w:kern w:val="0"/>
                    </w:rPr>
                    <w:t>1</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rFonts w:ascii="宋体" w:hAnsi="宋体" w:cs="Arial"/>
                      <w:b/>
                      <w:color w:val="auto"/>
                      <w:kern w:val="0"/>
                    </w:rPr>
                  </w:pPr>
                  <w:r>
                    <w:rPr>
                      <w:rFonts w:hint="eastAsia" w:ascii="宋体" w:hAnsi="宋体" w:cs="Arial"/>
                      <w:b/>
                      <w:color w:val="auto"/>
                      <w:kern w:val="0"/>
                    </w:rPr>
                    <w:t>三</w:t>
                  </w:r>
                </w:p>
              </w:tc>
              <w:tc>
                <w:tcPr>
                  <w:tcW w:w="2074" w:type="dxa"/>
                  <w:shd w:val="clear" w:color="auto" w:fill="auto"/>
                  <w:vAlign w:val="center"/>
                </w:tcPr>
                <w:p>
                  <w:pPr>
                    <w:widowControl/>
                    <w:adjustRightInd w:val="0"/>
                    <w:snapToGrid w:val="0"/>
                    <w:jc w:val="center"/>
                    <w:rPr>
                      <w:rFonts w:ascii="宋体" w:hAnsi="宋体" w:cs="Arial"/>
                      <w:b/>
                      <w:color w:val="auto"/>
                      <w:kern w:val="0"/>
                    </w:rPr>
                  </w:pPr>
                  <w:r>
                    <w:rPr>
                      <w:rFonts w:hint="eastAsia" w:ascii="宋体" w:hAnsi="宋体" w:cs="Arial"/>
                      <w:b/>
                      <w:color w:val="auto"/>
                      <w:kern w:val="0"/>
                    </w:rPr>
                    <w:t>除尘系统</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套</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3</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1" w:hRule="atLeast"/>
              </w:trPr>
              <w:tc>
                <w:tcPr>
                  <w:tcW w:w="708" w:type="dxa"/>
                  <w:vMerge w:val="restart"/>
                  <w:shd w:val="clear" w:color="auto" w:fill="auto"/>
                  <w:vAlign w:val="center"/>
                </w:tcPr>
                <w:p>
                  <w:pPr>
                    <w:widowControl/>
                    <w:adjustRightInd w:val="0"/>
                    <w:snapToGrid w:val="0"/>
                    <w:jc w:val="center"/>
                    <w:rPr>
                      <w:color w:val="auto"/>
                      <w:kern w:val="0"/>
                    </w:rPr>
                  </w:pPr>
                  <w:r>
                    <w:rPr>
                      <w:color w:val="auto"/>
                      <w:kern w:val="0"/>
                    </w:rPr>
                    <w:t>1</w:t>
                  </w:r>
                </w:p>
              </w:tc>
              <w:tc>
                <w:tcPr>
                  <w:tcW w:w="2074" w:type="dxa"/>
                  <w:vMerge w:val="restart"/>
                  <w:shd w:val="clear" w:color="auto" w:fill="auto"/>
                  <w:vAlign w:val="center"/>
                </w:tcPr>
                <w:p>
                  <w:pPr>
                    <w:widowControl/>
                    <w:adjustRightInd w:val="0"/>
                    <w:snapToGrid w:val="0"/>
                    <w:jc w:val="center"/>
                    <w:rPr>
                      <w:color w:val="auto"/>
                      <w:kern w:val="0"/>
                    </w:rPr>
                  </w:pPr>
                  <w:r>
                    <w:rPr>
                      <w:color w:val="auto"/>
                      <w:kern w:val="0"/>
                    </w:rPr>
                    <w:t>袋式除尘器</w:t>
                  </w:r>
                </w:p>
              </w:tc>
              <w:tc>
                <w:tcPr>
                  <w:tcW w:w="2942" w:type="dxa"/>
                  <w:vMerge w:val="restart"/>
                  <w:shd w:val="clear" w:color="auto" w:fill="auto"/>
                  <w:vAlign w:val="center"/>
                </w:tcPr>
                <w:p>
                  <w:pPr>
                    <w:widowControl/>
                    <w:adjustRightInd w:val="0"/>
                    <w:snapToGrid w:val="0"/>
                    <w:jc w:val="center"/>
                    <w:rPr>
                      <w:color w:val="auto"/>
                      <w:kern w:val="0"/>
                    </w:rPr>
                  </w:pPr>
                  <w:r>
                    <w:rPr>
                      <w:color w:val="auto"/>
                      <w:kern w:val="0"/>
                    </w:rPr>
                    <w:t>MTLMC15000,900000m</w:t>
                  </w:r>
                  <w:r>
                    <w:rPr>
                      <w:color w:val="auto"/>
                      <w:kern w:val="0"/>
                      <w:vertAlign w:val="superscript"/>
                    </w:rPr>
                    <w:t>3</w:t>
                  </w:r>
                  <w:r>
                    <w:rPr>
                      <w:color w:val="auto"/>
                      <w:kern w:val="0"/>
                    </w:rPr>
                    <w:t>/h(工)</w:t>
                  </w:r>
                </w:p>
              </w:tc>
              <w:tc>
                <w:tcPr>
                  <w:tcW w:w="690" w:type="dxa"/>
                  <w:vMerge w:val="restart"/>
                  <w:shd w:val="clear" w:color="auto" w:fill="auto"/>
                  <w:vAlign w:val="center"/>
                </w:tcPr>
                <w:p>
                  <w:pPr>
                    <w:widowControl/>
                    <w:adjustRightInd w:val="0"/>
                    <w:snapToGrid w:val="0"/>
                    <w:jc w:val="center"/>
                    <w:rPr>
                      <w:color w:val="auto"/>
                      <w:kern w:val="0"/>
                    </w:rPr>
                  </w:pPr>
                  <w:r>
                    <w:rPr>
                      <w:color w:val="auto"/>
                      <w:kern w:val="0"/>
                    </w:rPr>
                    <w:t>套</w:t>
                  </w:r>
                </w:p>
              </w:tc>
              <w:tc>
                <w:tcPr>
                  <w:tcW w:w="968" w:type="dxa"/>
                  <w:vMerge w:val="restart"/>
                  <w:shd w:val="clear" w:color="auto" w:fill="auto"/>
                  <w:vAlign w:val="center"/>
                </w:tcPr>
                <w:p>
                  <w:pPr>
                    <w:widowControl/>
                    <w:adjustRightInd w:val="0"/>
                    <w:snapToGrid w:val="0"/>
                    <w:jc w:val="center"/>
                    <w:rPr>
                      <w:color w:val="auto"/>
                      <w:kern w:val="0"/>
                    </w:rPr>
                  </w:pPr>
                  <w:r>
                    <w:rPr>
                      <w:color w:val="auto"/>
                      <w:kern w:val="0"/>
                    </w:rPr>
                    <w:t>3</w:t>
                  </w:r>
                </w:p>
              </w:tc>
              <w:tc>
                <w:tcPr>
                  <w:tcW w:w="1669" w:type="dxa"/>
                  <w:vMerge w:val="restart"/>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含本体、滤袋、喷吹系统等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1" w:hRule="atLeast"/>
              </w:trPr>
              <w:tc>
                <w:tcPr>
                  <w:tcW w:w="708" w:type="dxa"/>
                  <w:vMerge w:val="continue"/>
                  <w:vAlign w:val="center"/>
                </w:tcPr>
                <w:p>
                  <w:pPr>
                    <w:widowControl/>
                    <w:adjustRightInd w:val="0"/>
                    <w:snapToGrid w:val="0"/>
                    <w:jc w:val="center"/>
                    <w:rPr>
                      <w:color w:val="auto"/>
                      <w:kern w:val="0"/>
                    </w:rPr>
                  </w:pPr>
                </w:p>
              </w:tc>
              <w:tc>
                <w:tcPr>
                  <w:tcW w:w="2074" w:type="dxa"/>
                  <w:vMerge w:val="continue"/>
                  <w:vAlign w:val="center"/>
                </w:tcPr>
                <w:p>
                  <w:pPr>
                    <w:widowControl/>
                    <w:adjustRightInd w:val="0"/>
                    <w:snapToGrid w:val="0"/>
                    <w:jc w:val="center"/>
                    <w:rPr>
                      <w:rFonts w:ascii="宋体" w:hAnsi="宋体" w:cs="Arial"/>
                      <w:color w:val="auto"/>
                      <w:kern w:val="0"/>
                    </w:rPr>
                  </w:pPr>
                </w:p>
              </w:tc>
              <w:tc>
                <w:tcPr>
                  <w:tcW w:w="2942" w:type="dxa"/>
                  <w:vMerge w:val="continue"/>
                  <w:vAlign w:val="center"/>
                </w:tcPr>
                <w:p>
                  <w:pPr>
                    <w:widowControl/>
                    <w:adjustRightInd w:val="0"/>
                    <w:snapToGrid w:val="0"/>
                    <w:jc w:val="center"/>
                    <w:rPr>
                      <w:rFonts w:ascii="宋体" w:hAnsi="宋体" w:cs="Arial"/>
                      <w:color w:val="auto"/>
                      <w:kern w:val="0"/>
                    </w:rPr>
                  </w:pPr>
                </w:p>
              </w:tc>
              <w:tc>
                <w:tcPr>
                  <w:tcW w:w="690" w:type="dxa"/>
                  <w:vMerge w:val="continue"/>
                  <w:vAlign w:val="center"/>
                </w:tcPr>
                <w:p>
                  <w:pPr>
                    <w:widowControl/>
                    <w:adjustRightInd w:val="0"/>
                    <w:snapToGrid w:val="0"/>
                    <w:jc w:val="center"/>
                    <w:rPr>
                      <w:rFonts w:ascii="宋体" w:hAnsi="宋体" w:cs="Arial"/>
                      <w:color w:val="auto"/>
                      <w:kern w:val="0"/>
                    </w:rPr>
                  </w:pPr>
                </w:p>
              </w:tc>
              <w:tc>
                <w:tcPr>
                  <w:tcW w:w="968" w:type="dxa"/>
                  <w:vMerge w:val="continue"/>
                  <w:vAlign w:val="center"/>
                </w:tcPr>
                <w:p>
                  <w:pPr>
                    <w:widowControl/>
                    <w:adjustRightInd w:val="0"/>
                    <w:snapToGrid w:val="0"/>
                    <w:jc w:val="center"/>
                    <w:rPr>
                      <w:color w:val="auto"/>
                      <w:kern w:val="0"/>
                    </w:rPr>
                  </w:pPr>
                </w:p>
              </w:tc>
              <w:tc>
                <w:tcPr>
                  <w:tcW w:w="1669" w:type="dxa"/>
                  <w:vMerge w:val="continue"/>
                  <w:vAlign w:val="center"/>
                </w:tcPr>
                <w:p>
                  <w:pPr>
                    <w:widowControl/>
                    <w:adjustRightInd w:val="0"/>
                    <w:snapToGrid w:val="0"/>
                    <w:jc w:val="center"/>
                    <w:rPr>
                      <w:rFonts w:ascii="宋体" w:hAnsi="宋体" w:cs="Arial"/>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rFonts w:ascii="黑体" w:hAnsi="黑体" w:eastAsia="黑体" w:cs="Arial"/>
                      <w:b/>
                      <w:bCs/>
                      <w:color w:val="auto"/>
                      <w:kern w:val="0"/>
                    </w:rPr>
                  </w:pPr>
                  <w:r>
                    <w:rPr>
                      <w:rFonts w:hint="eastAsia" w:ascii="黑体" w:hAnsi="黑体" w:eastAsia="黑体" w:cs="Arial"/>
                      <w:b/>
                      <w:bCs/>
                      <w:color w:val="auto"/>
                      <w:kern w:val="0"/>
                    </w:rPr>
                    <w:t>四</w:t>
                  </w:r>
                </w:p>
              </w:tc>
              <w:tc>
                <w:tcPr>
                  <w:tcW w:w="2074" w:type="dxa"/>
                  <w:shd w:val="clear" w:color="auto" w:fill="auto"/>
                  <w:vAlign w:val="center"/>
                </w:tcPr>
                <w:p>
                  <w:pPr>
                    <w:widowControl/>
                    <w:adjustRightInd w:val="0"/>
                    <w:snapToGrid w:val="0"/>
                    <w:jc w:val="center"/>
                    <w:rPr>
                      <w:rFonts w:ascii="黑体" w:hAnsi="黑体" w:eastAsia="黑体" w:cs="Arial"/>
                      <w:b/>
                      <w:bCs/>
                      <w:color w:val="auto"/>
                      <w:kern w:val="0"/>
                    </w:rPr>
                  </w:pPr>
                  <w:r>
                    <w:rPr>
                      <w:rFonts w:hint="eastAsia" w:ascii="黑体" w:hAnsi="黑体" w:eastAsia="黑体" w:cs="Arial"/>
                      <w:b/>
                      <w:bCs/>
                      <w:color w:val="auto"/>
                      <w:kern w:val="0"/>
                    </w:rPr>
                    <w:t>电气自动化系统</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rFonts w:ascii="黑体" w:hAnsi="黑体" w:eastAsia="黑体" w:cs="Arial"/>
                      <w:b/>
                      <w:bCs/>
                      <w:color w:val="auto"/>
                      <w:kern w:val="0"/>
                    </w:rPr>
                  </w:pPr>
                  <w:r>
                    <w:rPr>
                      <w:rFonts w:hint="eastAsia" w:ascii="黑体" w:hAnsi="黑体" w:eastAsia="黑体" w:cs="Arial"/>
                      <w:b/>
                      <w:bCs/>
                      <w:color w:val="auto"/>
                      <w:kern w:val="0"/>
                    </w:rPr>
                    <w:t>套</w:t>
                  </w:r>
                </w:p>
              </w:tc>
              <w:tc>
                <w:tcPr>
                  <w:tcW w:w="968" w:type="dxa"/>
                  <w:shd w:val="clear" w:color="000000" w:fill="FFFFFF"/>
                  <w:vAlign w:val="center"/>
                </w:tcPr>
                <w:p>
                  <w:pPr>
                    <w:widowControl/>
                    <w:adjustRightInd w:val="0"/>
                    <w:snapToGrid w:val="0"/>
                    <w:jc w:val="center"/>
                    <w:rPr>
                      <w:b/>
                      <w:bCs/>
                      <w:color w:val="auto"/>
                      <w:kern w:val="0"/>
                    </w:rPr>
                  </w:pPr>
                  <w:r>
                    <w:rPr>
                      <w:b/>
                      <w:bCs/>
                      <w:color w:val="auto"/>
                      <w:kern w:val="0"/>
                    </w:rPr>
                    <w:t>1</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液晶显示器</w:t>
                  </w:r>
                </w:p>
              </w:tc>
              <w:tc>
                <w:tcPr>
                  <w:tcW w:w="2942" w:type="dxa"/>
                  <w:shd w:val="clear" w:color="auto" w:fill="auto"/>
                  <w:vAlign w:val="center"/>
                </w:tcPr>
                <w:p>
                  <w:pPr>
                    <w:widowControl/>
                    <w:adjustRightInd w:val="0"/>
                    <w:snapToGrid w:val="0"/>
                    <w:jc w:val="center"/>
                    <w:rPr>
                      <w:color w:val="auto"/>
                      <w:kern w:val="0"/>
                    </w:rPr>
                  </w:pPr>
                  <w:r>
                    <w:rPr>
                      <w:color w:val="auto"/>
                      <w:kern w:val="0"/>
                    </w:rPr>
                    <w:t>24”LCD(1280x1024)</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000000" w:fill="FFFFFF"/>
                  <w:vAlign w:val="center"/>
                </w:tcPr>
                <w:p>
                  <w:pPr>
                    <w:widowControl/>
                    <w:adjustRightInd w:val="0"/>
                    <w:snapToGrid w:val="0"/>
                    <w:jc w:val="center"/>
                    <w:rPr>
                      <w:color w:val="auto"/>
                      <w:kern w:val="0"/>
                    </w:rPr>
                  </w:pPr>
                  <w:r>
                    <w:rPr>
                      <w:color w:val="auto"/>
                      <w:kern w:val="0"/>
                    </w:rPr>
                    <w:t>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2</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工控机</w:t>
                  </w:r>
                </w:p>
              </w:tc>
              <w:tc>
                <w:tcPr>
                  <w:tcW w:w="2942" w:type="dxa"/>
                  <w:shd w:val="clear" w:color="auto" w:fill="auto"/>
                  <w:vAlign w:val="center"/>
                </w:tcPr>
                <w:p>
                  <w:pPr>
                    <w:widowControl/>
                    <w:adjustRightInd w:val="0"/>
                    <w:snapToGrid w:val="0"/>
                    <w:jc w:val="center"/>
                    <w:rPr>
                      <w:color w:val="auto"/>
                      <w:kern w:val="0"/>
                    </w:rPr>
                  </w:pPr>
                  <w:r>
                    <w:rPr>
                      <w:color w:val="auto"/>
                      <w:kern w:val="0"/>
                    </w:rPr>
                    <w:t>P4</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000000" w:fill="FFFFFF"/>
                  <w:vAlign w:val="center"/>
                </w:tcPr>
                <w:p>
                  <w:pPr>
                    <w:widowControl/>
                    <w:adjustRightInd w:val="0"/>
                    <w:snapToGrid w:val="0"/>
                    <w:jc w:val="center"/>
                    <w:rPr>
                      <w:color w:val="auto"/>
                      <w:kern w:val="0"/>
                    </w:rPr>
                  </w:pPr>
                  <w:r>
                    <w:rPr>
                      <w:color w:val="auto"/>
                      <w:kern w:val="0"/>
                    </w:rPr>
                    <w:t>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3</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操作台</w:t>
                  </w:r>
                </w:p>
              </w:tc>
              <w:tc>
                <w:tcPr>
                  <w:tcW w:w="2942" w:type="dxa"/>
                  <w:shd w:val="clear" w:color="auto" w:fill="auto"/>
                  <w:vAlign w:val="center"/>
                </w:tcPr>
                <w:p>
                  <w:pPr>
                    <w:widowControl/>
                    <w:adjustRightInd w:val="0"/>
                    <w:snapToGrid w:val="0"/>
                    <w:jc w:val="center"/>
                    <w:rPr>
                      <w:color w:val="auto"/>
                      <w:kern w:val="0"/>
                    </w:rPr>
                  </w:pPr>
                  <w:r>
                    <w:rPr>
                      <w:color w:val="auto"/>
                      <w:kern w:val="0"/>
                    </w:rPr>
                    <w:t>740×750×1260</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000000" w:fill="FFFFFF"/>
                  <w:vAlign w:val="center"/>
                </w:tcPr>
                <w:p>
                  <w:pPr>
                    <w:widowControl/>
                    <w:adjustRightInd w:val="0"/>
                    <w:snapToGrid w:val="0"/>
                    <w:jc w:val="center"/>
                    <w:rPr>
                      <w:color w:val="auto"/>
                      <w:kern w:val="0"/>
                    </w:rPr>
                  </w:pPr>
                  <w:r>
                    <w:rPr>
                      <w:color w:val="auto"/>
                      <w:kern w:val="0"/>
                    </w:rPr>
                    <w:t>2</w:t>
                  </w:r>
                </w:p>
              </w:tc>
              <w:tc>
                <w:tcPr>
                  <w:tcW w:w="1669"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带网卡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4</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网络柜</w:t>
                  </w:r>
                </w:p>
              </w:tc>
              <w:tc>
                <w:tcPr>
                  <w:tcW w:w="2942" w:type="dxa"/>
                  <w:shd w:val="clear" w:color="auto" w:fill="auto"/>
                  <w:vAlign w:val="center"/>
                </w:tcPr>
                <w:p>
                  <w:pPr>
                    <w:widowControl/>
                    <w:adjustRightInd w:val="0"/>
                    <w:snapToGrid w:val="0"/>
                    <w:jc w:val="center"/>
                    <w:rPr>
                      <w:color w:val="auto"/>
                      <w:kern w:val="0"/>
                    </w:rPr>
                  </w:pPr>
                  <w:r>
                    <w:rPr>
                      <w:color w:val="auto"/>
                      <w:kern w:val="0"/>
                    </w:rPr>
                    <w:t>2200x800x600</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000000" w:fill="FFFFFF"/>
                  <w:vAlign w:val="center"/>
                </w:tcPr>
                <w:p>
                  <w:pPr>
                    <w:widowControl/>
                    <w:adjustRightInd w:val="0"/>
                    <w:snapToGrid w:val="0"/>
                    <w:jc w:val="center"/>
                    <w:rPr>
                      <w:color w:val="auto"/>
                      <w:kern w:val="0"/>
                    </w:rPr>
                  </w:pPr>
                  <w:r>
                    <w:rPr>
                      <w:color w:val="auto"/>
                      <w:kern w:val="0"/>
                    </w:rPr>
                    <w:t>1</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5</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交换机</w:t>
                  </w:r>
                </w:p>
              </w:tc>
              <w:tc>
                <w:tcPr>
                  <w:tcW w:w="2942" w:type="dxa"/>
                  <w:shd w:val="clear" w:color="auto" w:fill="auto"/>
                  <w:vAlign w:val="center"/>
                </w:tcPr>
                <w:p>
                  <w:pPr>
                    <w:widowControl/>
                    <w:adjustRightInd w:val="0"/>
                    <w:snapToGrid w:val="0"/>
                    <w:jc w:val="center"/>
                    <w:rPr>
                      <w:color w:val="auto"/>
                      <w:kern w:val="0"/>
                    </w:rPr>
                  </w:pPr>
                  <w:r>
                    <w:rPr>
                      <w:color w:val="auto"/>
                      <w:kern w:val="0"/>
                    </w:rPr>
                    <w:t>8</w:t>
                  </w:r>
                  <w:r>
                    <w:rPr>
                      <w:rFonts w:hint="eastAsia" w:ascii="宋体" w:hAnsi="宋体"/>
                      <w:color w:val="auto"/>
                      <w:kern w:val="0"/>
                    </w:rPr>
                    <w:t>路</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000000" w:fill="FFFFFF"/>
                  <w:vAlign w:val="center"/>
                </w:tcPr>
                <w:p>
                  <w:pPr>
                    <w:widowControl/>
                    <w:adjustRightInd w:val="0"/>
                    <w:snapToGrid w:val="0"/>
                    <w:jc w:val="center"/>
                    <w:rPr>
                      <w:color w:val="auto"/>
                      <w:kern w:val="0"/>
                    </w:rPr>
                  </w:pPr>
                  <w:r>
                    <w:rPr>
                      <w:color w:val="auto"/>
                      <w:kern w:val="0"/>
                    </w:rPr>
                    <w:t>1</w:t>
                  </w:r>
                </w:p>
              </w:tc>
              <w:tc>
                <w:tcPr>
                  <w:tcW w:w="1669"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含</w:t>
                  </w:r>
                  <w:r>
                    <w:rPr>
                      <w:color w:val="auto"/>
                      <w:kern w:val="0"/>
                    </w:rPr>
                    <w:t>PLC300</w:t>
                  </w:r>
                  <w:r>
                    <w:rPr>
                      <w:rFonts w:hint="eastAsia" w:ascii="宋体" w:hAnsi="宋体" w:cs="Arial"/>
                      <w:color w:val="auto"/>
                      <w:kern w:val="0"/>
                    </w:rPr>
                    <w:t>主机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6</w:t>
                  </w:r>
                </w:p>
              </w:tc>
              <w:tc>
                <w:tcPr>
                  <w:tcW w:w="2074" w:type="dxa"/>
                  <w:shd w:val="clear" w:color="auto" w:fill="auto"/>
                  <w:vAlign w:val="center"/>
                </w:tcPr>
                <w:p>
                  <w:pPr>
                    <w:widowControl/>
                    <w:adjustRightInd w:val="0"/>
                    <w:snapToGrid w:val="0"/>
                    <w:jc w:val="center"/>
                    <w:rPr>
                      <w:color w:val="auto"/>
                      <w:kern w:val="0"/>
                    </w:rPr>
                  </w:pPr>
                  <w:r>
                    <w:rPr>
                      <w:color w:val="auto"/>
                      <w:kern w:val="0"/>
                    </w:rPr>
                    <w:t>UPS</w:t>
                  </w:r>
                  <w:r>
                    <w:rPr>
                      <w:rFonts w:hint="eastAsia" w:ascii="宋体" w:hAnsi="宋体"/>
                      <w:color w:val="auto"/>
                      <w:kern w:val="0"/>
                    </w:rPr>
                    <w:t>电源</w:t>
                  </w:r>
                </w:p>
              </w:tc>
              <w:tc>
                <w:tcPr>
                  <w:tcW w:w="2942"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山特</w:t>
                  </w:r>
                  <w:r>
                    <w:rPr>
                      <w:color w:val="auto"/>
                      <w:kern w:val="0"/>
                    </w:rPr>
                    <w:t>6KVA</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000000" w:fill="FFFFFF"/>
                  <w:vAlign w:val="center"/>
                </w:tcPr>
                <w:p>
                  <w:pPr>
                    <w:widowControl/>
                    <w:adjustRightInd w:val="0"/>
                    <w:snapToGrid w:val="0"/>
                    <w:jc w:val="center"/>
                    <w:rPr>
                      <w:color w:val="auto"/>
                      <w:kern w:val="0"/>
                    </w:rPr>
                  </w:pPr>
                  <w:r>
                    <w:rPr>
                      <w:color w:val="auto"/>
                      <w:kern w:val="0"/>
                    </w:rPr>
                    <w:t>1</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7</w:t>
                  </w:r>
                </w:p>
              </w:tc>
              <w:tc>
                <w:tcPr>
                  <w:tcW w:w="2074" w:type="dxa"/>
                  <w:shd w:val="clear" w:color="auto" w:fill="auto"/>
                  <w:vAlign w:val="center"/>
                </w:tcPr>
                <w:p>
                  <w:pPr>
                    <w:widowControl/>
                    <w:adjustRightInd w:val="0"/>
                    <w:snapToGrid w:val="0"/>
                    <w:jc w:val="center"/>
                    <w:rPr>
                      <w:color w:val="auto"/>
                      <w:kern w:val="0"/>
                    </w:rPr>
                  </w:pPr>
                  <w:r>
                    <w:rPr>
                      <w:color w:val="auto"/>
                      <w:kern w:val="0"/>
                    </w:rPr>
                    <w:t>Wincc</w:t>
                  </w:r>
                  <w:r>
                    <w:rPr>
                      <w:rFonts w:hint="eastAsia" w:ascii="宋体" w:hAnsi="宋体"/>
                      <w:color w:val="auto"/>
                      <w:kern w:val="0"/>
                    </w:rPr>
                    <w:t>运行版</w:t>
                  </w:r>
                </w:p>
              </w:tc>
              <w:tc>
                <w:tcPr>
                  <w:tcW w:w="2942" w:type="dxa"/>
                  <w:shd w:val="clear" w:color="auto" w:fill="auto"/>
                  <w:vAlign w:val="center"/>
                </w:tcPr>
                <w:p>
                  <w:pPr>
                    <w:widowControl/>
                    <w:adjustRightInd w:val="0"/>
                    <w:snapToGrid w:val="0"/>
                    <w:jc w:val="center"/>
                    <w:rPr>
                      <w:color w:val="auto"/>
                      <w:kern w:val="0"/>
                    </w:rPr>
                  </w:pPr>
                  <w:r>
                    <w:rPr>
                      <w:color w:val="auto"/>
                      <w:kern w:val="0"/>
                    </w:rPr>
                    <w:t>6AV6.381-1BE06-2AVO</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套</w:t>
                  </w:r>
                </w:p>
              </w:tc>
              <w:tc>
                <w:tcPr>
                  <w:tcW w:w="968" w:type="dxa"/>
                  <w:shd w:val="clear" w:color="000000" w:fill="FFFFFF"/>
                  <w:vAlign w:val="center"/>
                </w:tcPr>
                <w:p>
                  <w:pPr>
                    <w:widowControl/>
                    <w:adjustRightInd w:val="0"/>
                    <w:snapToGrid w:val="0"/>
                    <w:jc w:val="center"/>
                    <w:rPr>
                      <w:color w:val="auto"/>
                      <w:kern w:val="0"/>
                    </w:rPr>
                  </w:pP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8</w:t>
                  </w:r>
                </w:p>
              </w:tc>
              <w:tc>
                <w:tcPr>
                  <w:tcW w:w="2074" w:type="dxa"/>
                  <w:shd w:val="clear" w:color="auto" w:fill="auto"/>
                  <w:vAlign w:val="center"/>
                </w:tcPr>
                <w:p>
                  <w:pPr>
                    <w:widowControl/>
                    <w:adjustRightInd w:val="0"/>
                    <w:snapToGrid w:val="0"/>
                    <w:jc w:val="center"/>
                    <w:rPr>
                      <w:color w:val="auto"/>
                      <w:kern w:val="0"/>
                    </w:rPr>
                  </w:pPr>
                  <w:r>
                    <w:rPr>
                      <w:color w:val="auto"/>
                      <w:kern w:val="0"/>
                    </w:rPr>
                    <w:t>Wincc</w:t>
                  </w:r>
                  <w:r>
                    <w:rPr>
                      <w:rFonts w:hint="eastAsia" w:ascii="宋体" w:hAnsi="宋体"/>
                      <w:color w:val="auto"/>
                      <w:kern w:val="0"/>
                    </w:rPr>
                    <w:t>开发版</w:t>
                  </w:r>
                </w:p>
              </w:tc>
              <w:tc>
                <w:tcPr>
                  <w:tcW w:w="2942" w:type="dxa"/>
                  <w:shd w:val="clear" w:color="auto" w:fill="auto"/>
                  <w:vAlign w:val="center"/>
                </w:tcPr>
                <w:p>
                  <w:pPr>
                    <w:widowControl/>
                    <w:adjustRightInd w:val="0"/>
                    <w:snapToGrid w:val="0"/>
                    <w:jc w:val="center"/>
                    <w:rPr>
                      <w:color w:val="auto"/>
                      <w:kern w:val="0"/>
                    </w:rPr>
                  </w:pPr>
                  <w:r>
                    <w:rPr>
                      <w:color w:val="auto"/>
                      <w:kern w:val="0"/>
                    </w:rPr>
                    <w:t>6AV6.381-2BP07-4AV0</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套</w:t>
                  </w:r>
                </w:p>
              </w:tc>
              <w:tc>
                <w:tcPr>
                  <w:tcW w:w="968" w:type="dxa"/>
                  <w:shd w:val="clear" w:color="000000" w:fill="FFFFFF"/>
                  <w:vAlign w:val="center"/>
                </w:tcPr>
                <w:p>
                  <w:pPr>
                    <w:widowControl/>
                    <w:adjustRightInd w:val="0"/>
                    <w:snapToGrid w:val="0"/>
                    <w:jc w:val="center"/>
                    <w:rPr>
                      <w:color w:val="auto"/>
                      <w:kern w:val="0"/>
                    </w:rPr>
                  </w:pPr>
                  <w:r>
                    <w:rPr>
                      <w:color w:val="auto"/>
                      <w:kern w:val="0"/>
                    </w:rPr>
                    <w:t>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8</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程序及画面组态</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套</w:t>
                  </w:r>
                </w:p>
              </w:tc>
              <w:tc>
                <w:tcPr>
                  <w:tcW w:w="968" w:type="dxa"/>
                  <w:shd w:val="clear" w:color="000000" w:fill="FFFFFF"/>
                  <w:vAlign w:val="center"/>
                </w:tcPr>
                <w:p>
                  <w:pPr>
                    <w:widowControl/>
                    <w:adjustRightInd w:val="0"/>
                    <w:snapToGrid w:val="0"/>
                    <w:jc w:val="center"/>
                    <w:rPr>
                      <w:color w:val="auto"/>
                      <w:kern w:val="0"/>
                    </w:rPr>
                  </w:pPr>
                  <w:r>
                    <w:rPr>
                      <w:color w:val="auto"/>
                      <w:kern w:val="0"/>
                    </w:rPr>
                    <w:t>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9</w:t>
                  </w:r>
                </w:p>
              </w:tc>
              <w:tc>
                <w:tcPr>
                  <w:tcW w:w="2074" w:type="dxa"/>
                  <w:shd w:val="clear" w:color="auto" w:fill="auto"/>
                  <w:vAlign w:val="center"/>
                </w:tcPr>
                <w:p>
                  <w:pPr>
                    <w:widowControl/>
                    <w:adjustRightInd w:val="0"/>
                    <w:snapToGrid w:val="0"/>
                    <w:jc w:val="center"/>
                    <w:rPr>
                      <w:color w:val="auto"/>
                      <w:kern w:val="0"/>
                    </w:rPr>
                  </w:pPr>
                  <w:r>
                    <w:rPr>
                      <w:color w:val="auto"/>
                      <w:kern w:val="0"/>
                    </w:rPr>
                    <w:t>PLC</w:t>
                  </w:r>
                  <w:r>
                    <w:rPr>
                      <w:rFonts w:hint="eastAsia" w:ascii="宋体" w:hAnsi="宋体"/>
                      <w:color w:val="auto"/>
                      <w:kern w:val="0"/>
                    </w:rPr>
                    <w:t>控制柜</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000000" w:fill="FFFFFF"/>
                  <w:vAlign w:val="center"/>
                </w:tcPr>
                <w:p>
                  <w:pPr>
                    <w:widowControl/>
                    <w:adjustRightInd w:val="0"/>
                    <w:snapToGrid w:val="0"/>
                    <w:jc w:val="center"/>
                    <w:rPr>
                      <w:color w:val="auto"/>
                      <w:kern w:val="0"/>
                    </w:rPr>
                  </w:pPr>
                  <w:r>
                    <w:rPr>
                      <w:color w:val="auto"/>
                      <w:kern w:val="0"/>
                    </w:rPr>
                    <w:t>6</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10</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电源柜</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000000" w:fill="FFFFFF"/>
                  <w:vAlign w:val="center"/>
                </w:tcPr>
                <w:p>
                  <w:pPr>
                    <w:widowControl/>
                    <w:adjustRightInd w:val="0"/>
                    <w:snapToGrid w:val="0"/>
                    <w:jc w:val="center"/>
                    <w:rPr>
                      <w:color w:val="auto"/>
                      <w:kern w:val="0"/>
                    </w:rPr>
                  </w:pPr>
                  <w:r>
                    <w:rPr>
                      <w:color w:val="auto"/>
                      <w:kern w:val="0"/>
                    </w:rPr>
                    <w:t>1</w:t>
                  </w:r>
                </w:p>
              </w:tc>
              <w:tc>
                <w:tcPr>
                  <w:tcW w:w="1669" w:type="dxa"/>
                  <w:shd w:val="clear" w:color="auto" w:fill="auto"/>
                  <w:vAlign w:val="center"/>
                </w:tcPr>
                <w:p>
                  <w:pPr>
                    <w:widowControl/>
                    <w:adjustRightInd w:val="0"/>
                    <w:snapToGrid w:val="0"/>
                    <w:jc w:val="center"/>
                    <w:rPr>
                      <w:color w:val="auto"/>
                      <w:kern w:val="0"/>
                    </w:rPr>
                  </w:pPr>
                  <w:r>
                    <w:rPr>
                      <w:color w:val="auto"/>
                      <w:kern w:val="0"/>
                    </w:rPr>
                    <w:t>PLC</w:t>
                  </w:r>
                  <w:r>
                    <w:rPr>
                      <w:rFonts w:hint="eastAsia" w:ascii="宋体" w:hAnsi="宋体"/>
                      <w:color w:val="auto"/>
                      <w:kern w:val="0"/>
                    </w:rPr>
                    <w:t>模块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11</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馈电柜</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000000" w:fill="FFFFFF"/>
                  <w:vAlign w:val="center"/>
                </w:tcPr>
                <w:p>
                  <w:pPr>
                    <w:widowControl/>
                    <w:adjustRightInd w:val="0"/>
                    <w:snapToGrid w:val="0"/>
                    <w:jc w:val="center"/>
                    <w:rPr>
                      <w:color w:val="auto"/>
                      <w:kern w:val="0"/>
                    </w:rPr>
                  </w:pPr>
                  <w:r>
                    <w:rPr>
                      <w:color w:val="auto"/>
                      <w:kern w:val="0"/>
                    </w:rPr>
                    <w:t>1</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12</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外部操作箱</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000000" w:fill="FFFFFF"/>
                  <w:vAlign w:val="center"/>
                </w:tcPr>
                <w:p>
                  <w:pPr>
                    <w:widowControl/>
                    <w:adjustRightInd w:val="0"/>
                    <w:snapToGrid w:val="0"/>
                    <w:jc w:val="center"/>
                    <w:rPr>
                      <w:color w:val="auto"/>
                      <w:kern w:val="0"/>
                    </w:rPr>
                  </w:pPr>
                  <w:r>
                    <w:rPr>
                      <w:color w:val="auto"/>
                      <w:kern w:val="0"/>
                    </w:rPr>
                    <w:t>24</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13</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电缆</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批</w:t>
                  </w:r>
                </w:p>
              </w:tc>
              <w:tc>
                <w:tcPr>
                  <w:tcW w:w="968" w:type="dxa"/>
                  <w:shd w:val="clear" w:color="000000" w:fill="FFFFFF"/>
                  <w:vAlign w:val="center"/>
                </w:tcPr>
                <w:p>
                  <w:pPr>
                    <w:widowControl/>
                    <w:adjustRightInd w:val="0"/>
                    <w:snapToGrid w:val="0"/>
                    <w:jc w:val="center"/>
                    <w:rPr>
                      <w:color w:val="auto"/>
                      <w:kern w:val="0"/>
                    </w:rPr>
                  </w:pPr>
                  <w:r>
                    <w:rPr>
                      <w:color w:val="auto"/>
                      <w:kern w:val="0"/>
                    </w:rPr>
                    <w:t>1</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rFonts w:ascii="宋体" w:hAnsi="宋体" w:cs="Arial"/>
                      <w:b/>
                      <w:color w:val="auto"/>
                      <w:kern w:val="0"/>
                    </w:rPr>
                  </w:pPr>
                  <w:r>
                    <w:rPr>
                      <w:rFonts w:hint="eastAsia" w:ascii="宋体" w:hAnsi="宋体" w:cs="Arial"/>
                      <w:b/>
                      <w:color w:val="auto"/>
                      <w:kern w:val="0"/>
                    </w:rPr>
                    <w:t>五</w:t>
                  </w:r>
                </w:p>
              </w:tc>
              <w:tc>
                <w:tcPr>
                  <w:tcW w:w="2074" w:type="dxa"/>
                  <w:shd w:val="clear" w:color="auto" w:fill="auto"/>
                  <w:vAlign w:val="center"/>
                </w:tcPr>
                <w:p>
                  <w:pPr>
                    <w:widowControl/>
                    <w:adjustRightInd w:val="0"/>
                    <w:snapToGrid w:val="0"/>
                    <w:jc w:val="center"/>
                    <w:rPr>
                      <w:rFonts w:ascii="宋体" w:hAnsi="宋体" w:cs="Arial"/>
                      <w:b/>
                      <w:color w:val="auto"/>
                      <w:kern w:val="0"/>
                    </w:rPr>
                  </w:pPr>
                  <w:r>
                    <w:rPr>
                      <w:rFonts w:hint="eastAsia" w:ascii="宋体" w:hAnsi="宋体" w:cs="Arial"/>
                      <w:b/>
                      <w:color w:val="auto"/>
                      <w:kern w:val="0"/>
                    </w:rPr>
                    <w:t>压缩空气系统</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color w:val="auto"/>
                      <w:kern w:val="0"/>
                    </w:rPr>
                  </w:pPr>
                </w:p>
              </w:tc>
              <w:tc>
                <w:tcPr>
                  <w:tcW w:w="968" w:type="dxa"/>
                  <w:shd w:val="clear" w:color="auto" w:fill="auto"/>
                  <w:vAlign w:val="center"/>
                </w:tcPr>
                <w:p>
                  <w:pPr>
                    <w:widowControl/>
                    <w:adjustRightInd w:val="0"/>
                    <w:snapToGrid w:val="0"/>
                    <w:jc w:val="center"/>
                    <w:rPr>
                      <w:color w:val="auto"/>
                      <w:kern w:val="0"/>
                    </w:rPr>
                  </w:pP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空压机</w:t>
                  </w:r>
                </w:p>
              </w:tc>
              <w:tc>
                <w:tcPr>
                  <w:tcW w:w="2942" w:type="dxa"/>
                  <w:shd w:val="clear" w:color="auto" w:fill="auto"/>
                  <w:vAlign w:val="center"/>
                </w:tcPr>
                <w:p>
                  <w:pPr>
                    <w:widowControl/>
                    <w:adjustRightInd w:val="0"/>
                    <w:snapToGrid w:val="0"/>
                    <w:jc w:val="center"/>
                    <w:rPr>
                      <w:color w:val="auto"/>
                      <w:kern w:val="0"/>
                    </w:rPr>
                  </w:pPr>
                  <w:r>
                    <w:rPr>
                      <w:rFonts w:hint="eastAsia" w:hAnsi="宋体"/>
                      <w:color w:val="auto"/>
                    </w:rPr>
                    <w:t>6.8m</w:t>
                  </w:r>
                  <w:r>
                    <w:rPr>
                      <w:rFonts w:hint="eastAsia" w:hAnsi="宋体"/>
                      <w:color w:val="auto"/>
                      <w:vertAlign w:val="superscript"/>
                    </w:rPr>
                    <w:t>3</w:t>
                  </w:r>
                  <w:r>
                    <w:rPr>
                      <w:rFonts w:hint="eastAsia" w:hAnsi="宋体"/>
                      <w:color w:val="auto"/>
                    </w:rPr>
                    <w:t>/min、0.8MPa、37kW</w:t>
                  </w:r>
                </w:p>
              </w:tc>
              <w:tc>
                <w:tcPr>
                  <w:tcW w:w="690" w:type="dxa"/>
                  <w:shd w:val="clear" w:color="auto" w:fill="auto"/>
                  <w:vAlign w:val="center"/>
                </w:tcPr>
                <w:p>
                  <w:pPr>
                    <w:widowControl/>
                    <w:adjustRightInd w:val="0"/>
                    <w:snapToGrid w:val="0"/>
                    <w:jc w:val="center"/>
                    <w:rPr>
                      <w:color w:val="auto"/>
                      <w:kern w:val="0"/>
                    </w:rPr>
                  </w:pPr>
                  <w:r>
                    <w:rPr>
                      <w:rFonts w:hint="eastAsia"/>
                      <w:color w:val="auto"/>
                      <w:kern w:val="0"/>
                    </w:rPr>
                    <w:t>台</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3</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2</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储气罐</w:t>
                  </w:r>
                </w:p>
              </w:tc>
              <w:tc>
                <w:tcPr>
                  <w:tcW w:w="2942" w:type="dxa"/>
                  <w:shd w:val="clear" w:color="auto" w:fill="auto"/>
                  <w:vAlign w:val="center"/>
                </w:tcPr>
                <w:p>
                  <w:pPr>
                    <w:widowControl/>
                    <w:adjustRightInd w:val="0"/>
                    <w:snapToGrid w:val="0"/>
                    <w:jc w:val="center"/>
                    <w:rPr>
                      <w:color w:val="auto"/>
                      <w:kern w:val="0"/>
                    </w:rPr>
                  </w:pPr>
                  <w:r>
                    <w:rPr>
                      <w:color w:val="auto"/>
                      <w:kern w:val="0"/>
                    </w:rPr>
                    <w:t>10m</w:t>
                  </w:r>
                  <w:r>
                    <w:rPr>
                      <w:color w:val="auto"/>
                      <w:kern w:val="0"/>
                      <w:vertAlign w:val="superscript"/>
                    </w:rPr>
                    <w:t>3</w:t>
                  </w:r>
                  <w:r>
                    <w:rPr>
                      <w:color w:val="auto"/>
                      <w:kern w:val="0"/>
                    </w:rPr>
                    <w:t>/0.8MPa</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color w:val="auto"/>
                      <w:kern w:val="0"/>
                    </w:rPr>
                    <w:t>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rFonts w:hint="eastAsia"/>
                      <w:color w:val="auto"/>
                      <w:kern w:val="0"/>
                    </w:rPr>
                    <w:t>3</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储气罐</w:t>
                  </w:r>
                </w:p>
              </w:tc>
              <w:tc>
                <w:tcPr>
                  <w:tcW w:w="2942" w:type="dxa"/>
                  <w:shd w:val="clear" w:color="auto" w:fill="auto"/>
                  <w:vAlign w:val="center"/>
                </w:tcPr>
                <w:p>
                  <w:pPr>
                    <w:widowControl/>
                    <w:adjustRightInd w:val="0"/>
                    <w:snapToGrid w:val="0"/>
                    <w:jc w:val="center"/>
                    <w:rPr>
                      <w:color w:val="auto"/>
                      <w:kern w:val="0"/>
                    </w:rPr>
                  </w:pPr>
                  <w:r>
                    <w:rPr>
                      <w:color w:val="auto"/>
                      <w:kern w:val="0"/>
                    </w:rPr>
                    <w:t>5m</w:t>
                  </w:r>
                  <w:r>
                    <w:rPr>
                      <w:color w:val="auto"/>
                      <w:kern w:val="0"/>
                      <w:vertAlign w:val="superscript"/>
                    </w:rPr>
                    <w:t>3</w:t>
                  </w:r>
                  <w:r>
                    <w:rPr>
                      <w:color w:val="auto"/>
                      <w:kern w:val="0"/>
                    </w:rPr>
                    <w:t>/0.8MPa</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台</w:t>
                  </w:r>
                </w:p>
              </w:tc>
              <w:tc>
                <w:tcPr>
                  <w:tcW w:w="968" w:type="dxa"/>
                  <w:shd w:val="clear" w:color="auto" w:fill="auto"/>
                  <w:vAlign w:val="center"/>
                </w:tcPr>
                <w:p>
                  <w:pPr>
                    <w:widowControl/>
                    <w:adjustRightInd w:val="0"/>
                    <w:snapToGrid w:val="0"/>
                    <w:jc w:val="center"/>
                    <w:rPr>
                      <w:color w:val="auto"/>
                      <w:kern w:val="0"/>
                    </w:rPr>
                  </w:pPr>
                  <w:r>
                    <w:rPr>
                      <w:color w:val="auto"/>
                      <w:kern w:val="0"/>
                    </w:rPr>
                    <w:t>1</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rFonts w:ascii="宋体" w:hAnsi="宋体" w:cs="Arial"/>
                      <w:b/>
                      <w:color w:val="auto"/>
                      <w:kern w:val="0"/>
                    </w:rPr>
                  </w:pPr>
                  <w:r>
                    <w:rPr>
                      <w:rFonts w:hint="eastAsia" w:ascii="宋体" w:hAnsi="宋体" w:cs="Arial"/>
                      <w:b/>
                      <w:color w:val="auto"/>
                      <w:kern w:val="0"/>
                    </w:rPr>
                    <w:t>六</w:t>
                  </w:r>
                </w:p>
              </w:tc>
              <w:tc>
                <w:tcPr>
                  <w:tcW w:w="2074" w:type="dxa"/>
                  <w:shd w:val="clear" w:color="auto" w:fill="auto"/>
                  <w:vAlign w:val="center"/>
                </w:tcPr>
                <w:p>
                  <w:pPr>
                    <w:widowControl/>
                    <w:adjustRightInd w:val="0"/>
                    <w:snapToGrid w:val="0"/>
                    <w:jc w:val="center"/>
                    <w:rPr>
                      <w:rFonts w:ascii="宋体" w:hAnsi="宋体" w:cs="Arial"/>
                      <w:b/>
                      <w:color w:val="auto"/>
                      <w:kern w:val="0"/>
                    </w:rPr>
                  </w:pPr>
                  <w:r>
                    <w:rPr>
                      <w:rFonts w:hint="eastAsia" w:ascii="宋体" w:hAnsi="宋体" w:cs="Arial"/>
                      <w:b/>
                      <w:color w:val="auto"/>
                      <w:kern w:val="0"/>
                    </w:rPr>
                    <w:t>仪器仪表</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color w:val="auto"/>
                      <w:kern w:val="0"/>
                    </w:rPr>
                  </w:pPr>
                </w:p>
              </w:tc>
              <w:tc>
                <w:tcPr>
                  <w:tcW w:w="968" w:type="dxa"/>
                  <w:shd w:val="clear" w:color="auto" w:fill="auto"/>
                  <w:vAlign w:val="center"/>
                </w:tcPr>
                <w:p>
                  <w:pPr>
                    <w:widowControl/>
                    <w:adjustRightInd w:val="0"/>
                    <w:snapToGrid w:val="0"/>
                    <w:jc w:val="center"/>
                    <w:rPr>
                      <w:color w:val="auto"/>
                      <w:kern w:val="0"/>
                    </w:rPr>
                  </w:pP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1</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压力变送器</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只</w:t>
                  </w:r>
                </w:p>
              </w:tc>
              <w:tc>
                <w:tcPr>
                  <w:tcW w:w="968" w:type="dxa"/>
                  <w:shd w:val="clear" w:color="auto" w:fill="auto"/>
                  <w:vAlign w:val="center"/>
                </w:tcPr>
                <w:p>
                  <w:pPr>
                    <w:widowControl/>
                    <w:adjustRightInd w:val="0"/>
                    <w:snapToGrid w:val="0"/>
                    <w:jc w:val="center"/>
                    <w:rPr>
                      <w:color w:val="auto"/>
                      <w:kern w:val="0"/>
                    </w:rPr>
                  </w:pPr>
                  <w:r>
                    <w:rPr>
                      <w:color w:val="auto"/>
                      <w:kern w:val="0"/>
                    </w:rPr>
                    <w:t>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2</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温度变送器</w:t>
                  </w:r>
                </w:p>
              </w:tc>
              <w:tc>
                <w:tcPr>
                  <w:tcW w:w="2942" w:type="dxa"/>
                  <w:shd w:val="clear" w:color="auto" w:fill="auto"/>
                  <w:vAlign w:val="center"/>
                </w:tcPr>
                <w:p>
                  <w:pPr>
                    <w:widowControl/>
                    <w:adjustRightInd w:val="0"/>
                    <w:snapToGrid w:val="0"/>
                    <w:jc w:val="center"/>
                    <w:rPr>
                      <w:color w:val="auto"/>
                      <w:kern w:val="0"/>
                    </w:rPr>
                  </w:pP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只</w:t>
                  </w:r>
                </w:p>
              </w:tc>
              <w:tc>
                <w:tcPr>
                  <w:tcW w:w="968" w:type="dxa"/>
                  <w:shd w:val="clear" w:color="auto" w:fill="auto"/>
                  <w:vAlign w:val="center"/>
                </w:tcPr>
                <w:p>
                  <w:pPr>
                    <w:widowControl/>
                    <w:adjustRightInd w:val="0"/>
                    <w:snapToGrid w:val="0"/>
                    <w:jc w:val="center"/>
                    <w:rPr>
                      <w:color w:val="auto"/>
                      <w:kern w:val="0"/>
                    </w:rPr>
                  </w:pPr>
                  <w:r>
                    <w:rPr>
                      <w:color w:val="auto"/>
                      <w:kern w:val="0"/>
                    </w:rPr>
                    <w:t>2</w:t>
                  </w:r>
                </w:p>
              </w:tc>
              <w:tc>
                <w:tcPr>
                  <w:tcW w:w="1669" w:type="dxa"/>
                  <w:shd w:val="clear" w:color="auto" w:fill="auto"/>
                  <w:vAlign w:val="center"/>
                </w:tcPr>
                <w:p>
                  <w:pPr>
                    <w:widowControl/>
                    <w:adjustRightInd w:val="0"/>
                    <w:snapToGrid w:val="0"/>
                    <w:jc w:val="center"/>
                    <w:rPr>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0" w:hRule="atLeast"/>
              </w:trPr>
              <w:tc>
                <w:tcPr>
                  <w:tcW w:w="708" w:type="dxa"/>
                  <w:shd w:val="clear" w:color="auto" w:fill="auto"/>
                  <w:vAlign w:val="center"/>
                </w:tcPr>
                <w:p>
                  <w:pPr>
                    <w:widowControl/>
                    <w:adjustRightInd w:val="0"/>
                    <w:snapToGrid w:val="0"/>
                    <w:jc w:val="center"/>
                    <w:rPr>
                      <w:color w:val="auto"/>
                      <w:kern w:val="0"/>
                    </w:rPr>
                  </w:pPr>
                  <w:r>
                    <w:rPr>
                      <w:color w:val="auto"/>
                      <w:kern w:val="0"/>
                    </w:rPr>
                    <w:t>3</w:t>
                  </w:r>
                </w:p>
              </w:tc>
              <w:tc>
                <w:tcPr>
                  <w:tcW w:w="2074"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烟气在线监测系统</w:t>
                  </w:r>
                </w:p>
              </w:tc>
              <w:tc>
                <w:tcPr>
                  <w:tcW w:w="2942" w:type="dxa"/>
                  <w:shd w:val="clear" w:color="auto" w:fill="auto"/>
                  <w:vAlign w:val="center"/>
                </w:tcPr>
                <w:p>
                  <w:pPr>
                    <w:widowControl/>
                    <w:adjustRightInd w:val="0"/>
                    <w:snapToGrid w:val="0"/>
                    <w:jc w:val="center"/>
                    <w:rPr>
                      <w:color w:val="auto"/>
                      <w:kern w:val="0"/>
                    </w:rPr>
                  </w:pPr>
                  <w:r>
                    <w:rPr>
                      <w:color w:val="auto"/>
                      <w:kern w:val="0"/>
                    </w:rPr>
                    <w:t>8</w:t>
                  </w:r>
                  <w:r>
                    <w:rPr>
                      <w:rFonts w:hint="eastAsia" w:ascii="宋体" w:hAnsi="宋体"/>
                      <w:color w:val="auto"/>
                      <w:kern w:val="0"/>
                    </w:rPr>
                    <w:t>个参数</w:t>
                  </w:r>
                </w:p>
              </w:tc>
              <w:tc>
                <w:tcPr>
                  <w:tcW w:w="690" w:type="dxa"/>
                  <w:shd w:val="clear" w:color="auto" w:fill="auto"/>
                  <w:vAlign w:val="center"/>
                </w:tcPr>
                <w:p>
                  <w:pPr>
                    <w:widowControl/>
                    <w:adjustRightInd w:val="0"/>
                    <w:snapToGrid w:val="0"/>
                    <w:jc w:val="center"/>
                    <w:rPr>
                      <w:rFonts w:ascii="宋体" w:hAnsi="宋体" w:cs="Arial"/>
                      <w:color w:val="auto"/>
                      <w:kern w:val="0"/>
                    </w:rPr>
                  </w:pPr>
                  <w:r>
                    <w:rPr>
                      <w:rFonts w:hint="eastAsia" w:ascii="宋体" w:hAnsi="宋体" w:cs="Arial"/>
                      <w:color w:val="auto"/>
                      <w:kern w:val="0"/>
                    </w:rPr>
                    <w:t>套</w:t>
                  </w:r>
                </w:p>
              </w:tc>
              <w:tc>
                <w:tcPr>
                  <w:tcW w:w="968" w:type="dxa"/>
                  <w:shd w:val="clear" w:color="auto" w:fill="auto"/>
                  <w:vAlign w:val="center"/>
                </w:tcPr>
                <w:p>
                  <w:pPr>
                    <w:widowControl/>
                    <w:adjustRightInd w:val="0"/>
                    <w:snapToGrid w:val="0"/>
                    <w:jc w:val="center"/>
                    <w:rPr>
                      <w:color w:val="auto"/>
                      <w:kern w:val="0"/>
                    </w:rPr>
                  </w:pPr>
                  <w:r>
                    <w:rPr>
                      <w:rFonts w:hint="eastAsia"/>
                      <w:color w:val="auto"/>
                      <w:kern w:val="0"/>
                    </w:rPr>
                    <w:t>3</w:t>
                  </w:r>
                </w:p>
              </w:tc>
              <w:tc>
                <w:tcPr>
                  <w:tcW w:w="1669" w:type="dxa"/>
                  <w:shd w:val="clear" w:color="auto" w:fill="auto"/>
                  <w:vAlign w:val="center"/>
                </w:tcPr>
                <w:p>
                  <w:pPr>
                    <w:widowControl/>
                    <w:adjustRightInd w:val="0"/>
                    <w:snapToGrid w:val="0"/>
                    <w:jc w:val="center"/>
                    <w:rPr>
                      <w:color w:val="auto"/>
                      <w:kern w:val="0"/>
                    </w:rPr>
                  </w:pPr>
                </w:p>
              </w:tc>
            </w:tr>
          </w:tbl>
          <w:p>
            <w:pPr>
              <w:spacing w:line="360" w:lineRule="auto"/>
              <w:jc w:val="center"/>
              <w:rPr>
                <w:rFonts w:eastAsia="黑体"/>
                <w:color w:val="auto"/>
                <w:sz w:val="24"/>
                <w:szCs w:val="24"/>
              </w:rPr>
            </w:pPr>
          </w:p>
          <w:p>
            <w:pPr>
              <w:spacing w:line="360" w:lineRule="auto"/>
              <w:ind w:firstLine="482" w:firstLineChars="200"/>
              <w:jc w:val="left"/>
              <w:rPr>
                <w:b/>
                <w:bCs/>
                <w:color w:val="auto"/>
                <w:sz w:val="24"/>
                <w:szCs w:val="24"/>
              </w:rPr>
            </w:pPr>
            <w:r>
              <w:rPr>
                <w:b/>
                <w:bCs/>
                <w:color w:val="auto"/>
                <w:sz w:val="24"/>
                <w:szCs w:val="24"/>
              </w:rPr>
              <w:t>六、主要原辅材料及能源消耗</w:t>
            </w:r>
          </w:p>
          <w:p>
            <w:pPr>
              <w:spacing w:line="360" w:lineRule="auto"/>
              <w:ind w:firstLine="480" w:firstLineChars="200"/>
              <w:jc w:val="left"/>
              <w:rPr>
                <w:color w:val="auto"/>
                <w:sz w:val="24"/>
                <w:szCs w:val="24"/>
              </w:rPr>
            </w:pPr>
            <w:r>
              <w:rPr>
                <w:rFonts w:hint="eastAsia"/>
                <w:color w:val="auto"/>
                <w:sz w:val="24"/>
                <w:szCs w:val="24"/>
              </w:rPr>
              <w:t>本项目主要原辅材料为脱硫剂氨水，具体见表</w:t>
            </w:r>
            <w:r>
              <w:rPr>
                <w:color w:val="auto"/>
                <w:sz w:val="24"/>
                <w:szCs w:val="24"/>
              </w:rPr>
              <w:t>6</w:t>
            </w:r>
            <w:r>
              <w:rPr>
                <w:rFonts w:hint="eastAsia"/>
                <w:color w:val="auto"/>
                <w:sz w:val="24"/>
                <w:szCs w:val="24"/>
              </w:rPr>
              <w:t>。</w:t>
            </w:r>
          </w:p>
          <w:p>
            <w:pPr>
              <w:spacing w:line="360" w:lineRule="auto"/>
              <w:jc w:val="center"/>
              <w:rPr>
                <w:rFonts w:eastAsia="黑体"/>
                <w:color w:val="auto"/>
                <w:sz w:val="24"/>
                <w:szCs w:val="24"/>
              </w:rPr>
            </w:pPr>
            <w:r>
              <w:rPr>
                <w:rFonts w:eastAsia="黑体"/>
                <w:color w:val="auto"/>
                <w:sz w:val="24"/>
                <w:szCs w:val="24"/>
              </w:rPr>
              <w:t xml:space="preserve">表6  </w:t>
            </w:r>
            <w:r>
              <w:rPr>
                <w:rFonts w:hint="eastAsia" w:eastAsia="黑体"/>
                <w:color w:val="auto"/>
                <w:sz w:val="24"/>
                <w:szCs w:val="24"/>
              </w:rPr>
              <w:t>拟</w:t>
            </w:r>
            <w:r>
              <w:rPr>
                <w:rFonts w:eastAsia="黑体"/>
                <w:color w:val="auto"/>
                <w:sz w:val="24"/>
                <w:szCs w:val="24"/>
              </w:rPr>
              <w:t>建项目原辅材料消耗一览表</w:t>
            </w:r>
          </w:p>
          <w:tbl>
            <w:tblPr>
              <w:tblStyle w:val="2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855"/>
              <w:gridCol w:w="1354"/>
              <w:gridCol w:w="814"/>
              <w:gridCol w:w="1082"/>
              <w:gridCol w:w="1086"/>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trPr>
              <w:tc>
                <w:tcPr>
                  <w:tcW w:w="782"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序号</w:t>
                  </w:r>
                </w:p>
              </w:tc>
              <w:tc>
                <w:tcPr>
                  <w:tcW w:w="185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名称</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用途</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单位</w:t>
                  </w:r>
                </w:p>
              </w:tc>
              <w:tc>
                <w:tcPr>
                  <w:tcW w:w="1082"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消耗量</w:t>
                  </w:r>
                </w:p>
              </w:tc>
              <w:tc>
                <w:tcPr>
                  <w:tcW w:w="108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贮存方式</w:t>
                  </w:r>
                </w:p>
              </w:tc>
              <w:tc>
                <w:tcPr>
                  <w:tcW w:w="2088"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782"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1</w:t>
                  </w:r>
                </w:p>
              </w:tc>
              <w:tc>
                <w:tcPr>
                  <w:tcW w:w="185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氨水</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脱硫剂</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t/a</w:t>
                  </w:r>
                </w:p>
              </w:tc>
              <w:tc>
                <w:tcPr>
                  <w:tcW w:w="1082"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1850</w:t>
                  </w:r>
                </w:p>
              </w:tc>
              <w:tc>
                <w:tcPr>
                  <w:tcW w:w="108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储罐</w:t>
                  </w:r>
                </w:p>
              </w:tc>
              <w:tc>
                <w:tcPr>
                  <w:tcW w:w="2088"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外购</w:t>
                  </w:r>
                </w:p>
              </w:tc>
            </w:tr>
          </w:tbl>
          <w:p>
            <w:pPr>
              <w:spacing w:line="360" w:lineRule="auto"/>
              <w:ind w:firstLine="482" w:firstLineChars="200"/>
              <w:jc w:val="left"/>
              <w:rPr>
                <w:b/>
                <w:bCs/>
                <w:color w:val="auto"/>
                <w:sz w:val="24"/>
                <w:szCs w:val="24"/>
              </w:rPr>
            </w:pPr>
            <w:r>
              <w:rPr>
                <w:b/>
                <w:bCs/>
                <w:color w:val="auto"/>
                <w:sz w:val="24"/>
                <w:szCs w:val="24"/>
              </w:rPr>
              <w:t>七、公用工程</w:t>
            </w:r>
          </w:p>
          <w:p>
            <w:pPr>
              <w:spacing w:line="360" w:lineRule="auto"/>
              <w:ind w:firstLine="480" w:firstLineChars="200"/>
              <w:jc w:val="left"/>
              <w:rPr>
                <w:color w:val="auto"/>
                <w:sz w:val="24"/>
                <w:szCs w:val="24"/>
              </w:rPr>
            </w:pPr>
            <w:r>
              <w:rPr>
                <w:color w:val="auto"/>
                <w:sz w:val="24"/>
                <w:szCs w:val="24"/>
              </w:rPr>
              <w:t>1、给排水</w:t>
            </w:r>
          </w:p>
          <w:p>
            <w:pPr>
              <w:spacing w:line="360" w:lineRule="auto"/>
              <w:ind w:firstLine="480" w:firstLineChars="200"/>
              <w:jc w:val="left"/>
              <w:rPr>
                <w:color w:val="auto"/>
                <w:sz w:val="24"/>
                <w:szCs w:val="24"/>
              </w:rPr>
            </w:pPr>
            <w:r>
              <w:rPr>
                <w:color w:val="auto"/>
                <w:sz w:val="24"/>
                <w:szCs w:val="24"/>
              </w:rPr>
              <w:fldChar w:fldCharType="begin"/>
            </w:r>
            <w:r>
              <w:rPr>
                <w:color w:val="auto"/>
                <w:sz w:val="24"/>
                <w:szCs w:val="24"/>
              </w:rPr>
              <w:instrText xml:space="preserve"> = 1 \* GB2 </w:instrText>
            </w:r>
            <w:r>
              <w:rPr>
                <w:color w:val="auto"/>
                <w:sz w:val="24"/>
                <w:szCs w:val="24"/>
              </w:rPr>
              <w:fldChar w:fldCharType="separate"/>
            </w:r>
            <w:r>
              <w:rPr>
                <w:rFonts w:hint="eastAsia" w:ascii="宋体" w:hAnsi="宋体" w:cs="宋体"/>
                <w:color w:val="auto"/>
                <w:sz w:val="24"/>
                <w:szCs w:val="24"/>
              </w:rPr>
              <w:t>⑴</w:t>
            </w:r>
            <w:r>
              <w:rPr>
                <w:color w:val="auto"/>
                <w:sz w:val="24"/>
                <w:szCs w:val="24"/>
              </w:rPr>
              <w:fldChar w:fldCharType="end"/>
            </w:r>
            <w:r>
              <w:rPr>
                <w:color w:val="auto"/>
                <w:sz w:val="24"/>
                <w:szCs w:val="24"/>
              </w:rPr>
              <w:t>给水</w:t>
            </w:r>
          </w:p>
          <w:p>
            <w:pPr>
              <w:spacing w:line="360" w:lineRule="auto"/>
              <w:ind w:firstLine="480" w:firstLineChars="200"/>
              <w:jc w:val="left"/>
              <w:rPr>
                <w:color w:val="auto"/>
                <w:sz w:val="24"/>
                <w:szCs w:val="24"/>
              </w:rPr>
            </w:pPr>
            <w:r>
              <w:rPr>
                <w:color w:val="auto"/>
                <w:sz w:val="24"/>
                <w:szCs w:val="24"/>
              </w:rPr>
              <w:t>项目用水主要</w:t>
            </w:r>
            <w:r>
              <w:rPr>
                <w:rFonts w:hint="eastAsia"/>
                <w:color w:val="auto"/>
                <w:sz w:val="24"/>
                <w:szCs w:val="24"/>
              </w:rPr>
              <w:t>为浓氨水稀释需要的除盐水，根据建设单位提供的资料，项目进厂氨水浓度为2</w:t>
            </w:r>
            <w:r>
              <w:rPr>
                <w:color w:val="auto"/>
                <w:sz w:val="24"/>
                <w:szCs w:val="24"/>
              </w:rPr>
              <w:t>0</w:t>
            </w:r>
            <w:r>
              <w:rPr>
                <w:rFonts w:hint="eastAsia"/>
                <w:color w:val="auto"/>
                <w:sz w:val="24"/>
                <w:szCs w:val="24"/>
              </w:rPr>
              <w:t>%，需要稀释至浓度为3%的稀氨水作为脱硫剂，依托厂区现有化水系统提供</w:t>
            </w:r>
            <w:r>
              <w:rPr>
                <w:color w:val="auto"/>
                <w:sz w:val="24"/>
                <w:szCs w:val="24"/>
              </w:rPr>
              <w:t>。</w:t>
            </w:r>
          </w:p>
          <w:p>
            <w:pPr>
              <w:spacing w:line="360" w:lineRule="auto"/>
              <w:ind w:firstLine="480" w:firstLineChars="200"/>
              <w:jc w:val="left"/>
              <w:rPr>
                <w:color w:val="auto"/>
                <w:sz w:val="24"/>
                <w:szCs w:val="24"/>
              </w:rPr>
            </w:pPr>
            <w:r>
              <w:rPr>
                <w:color w:val="auto"/>
                <w:sz w:val="24"/>
                <w:szCs w:val="24"/>
              </w:rPr>
              <w:fldChar w:fldCharType="begin"/>
            </w:r>
            <w:r>
              <w:rPr>
                <w:color w:val="auto"/>
                <w:sz w:val="24"/>
                <w:szCs w:val="24"/>
              </w:rPr>
              <w:instrText xml:space="preserve"> = 2 \* GB2 </w:instrText>
            </w:r>
            <w:r>
              <w:rPr>
                <w:color w:val="auto"/>
                <w:sz w:val="24"/>
                <w:szCs w:val="24"/>
              </w:rPr>
              <w:fldChar w:fldCharType="separate"/>
            </w:r>
            <w:r>
              <w:rPr>
                <w:rFonts w:hint="eastAsia" w:ascii="宋体" w:hAnsi="宋体" w:cs="宋体"/>
                <w:color w:val="auto"/>
                <w:sz w:val="24"/>
                <w:szCs w:val="24"/>
              </w:rPr>
              <w:t>⑵</w:t>
            </w:r>
            <w:r>
              <w:rPr>
                <w:color w:val="auto"/>
                <w:sz w:val="24"/>
                <w:szCs w:val="24"/>
              </w:rPr>
              <w:fldChar w:fldCharType="end"/>
            </w:r>
            <w:r>
              <w:rPr>
                <w:color w:val="auto"/>
                <w:sz w:val="24"/>
                <w:szCs w:val="24"/>
              </w:rPr>
              <w:t>排水</w:t>
            </w:r>
          </w:p>
          <w:p>
            <w:pPr>
              <w:spacing w:line="360" w:lineRule="auto"/>
              <w:ind w:firstLine="480" w:firstLineChars="200"/>
              <w:jc w:val="left"/>
              <w:rPr>
                <w:color w:val="auto"/>
                <w:sz w:val="24"/>
                <w:szCs w:val="24"/>
              </w:rPr>
            </w:pPr>
            <w:r>
              <w:rPr>
                <w:rFonts w:hint="eastAsia"/>
                <w:color w:val="auto"/>
                <w:sz w:val="24"/>
                <w:szCs w:val="24"/>
              </w:rPr>
              <w:t>本项目不新增劳动定员，亦无生产废水产生，事故污水进入2座5</w:t>
            </w:r>
            <w:r>
              <w:rPr>
                <w:color w:val="auto"/>
                <w:sz w:val="24"/>
                <w:szCs w:val="24"/>
              </w:rPr>
              <w:t>0</w:t>
            </w:r>
            <w:r>
              <w:rPr>
                <w:rFonts w:hint="eastAsia"/>
                <w:color w:val="auto"/>
                <w:sz w:val="24"/>
                <w:szCs w:val="24"/>
              </w:rPr>
              <w:t>m</w:t>
            </w:r>
            <w:r>
              <w:rPr>
                <w:color w:val="auto"/>
                <w:sz w:val="24"/>
                <w:szCs w:val="24"/>
                <w:vertAlign w:val="superscript"/>
              </w:rPr>
              <w:t>3</w:t>
            </w:r>
            <w:r>
              <w:rPr>
                <w:rFonts w:hint="eastAsia"/>
                <w:color w:val="auto"/>
                <w:sz w:val="24"/>
                <w:szCs w:val="24"/>
              </w:rPr>
              <w:t>事故池暂存，分批次泵入陕西龙门钢铁（集团）有限责任公司处理后综合利用，不外排。</w:t>
            </w:r>
          </w:p>
          <w:p>
            <w:pPr>
              <w:spacing w:line="360" w:lineRule="auto"/>
              <w:ind w:firstLine="480" w:firstLineChars="200"/>
              <w:jc w:val="left"/>
              <w:rPr>
                <w:color w:val="auto"/>
                <w:sz w:val="24"/>
                <w:szCs w:val="24"/>
              </w:rPr>
            </w:pPr>
            <w:r>
              <w:rPr>
                <w:color w:val="auto"/>
                <w:sz w:val="24"/>
                <w:szCs w:val="24"/>
              </w:rPr>
              <w:t>2、供配电</w:t>
            </w:r>
          </w:p>
          <w:p>
            <w:pPr>
              <w:spacing w:line="360" w:lineRule="auto"/>
              <w:ind w:firstLine="480" w:firstLineChars="200"/>
              <w:jc w:val="left"/>
              <w:rPr>
                <w:color w:val="auto"/>
                <w:sz w:val="24"/>
                <w:szCs w:val="24"/>
              </w:rPr>
            </w:pPr>
            <w:r>
              <w:rPr>
                <w:rFonts w:hint="eastAsia"/>
                <w:color w:val="auto"/>
                <w:sz w:val="24"/>
                <w:szCs w:val="24"/>
              </w:rPr>
              <w:t>依托厂区现有供配电系统</w:t>
            </w:r>
            <w:r>
              <w:rPr>
                <w:color w:val="auto"/>
                <w:sz w:val="24"/>
                <w:szCs w:val="24"/>
              </w:rPr>
              <w:t>。</w:t>
            </w:r>
          </w:p>
          <w:p>
            <w:pPr>
              <w:spacing w:line="360" w:lineRule="auto"/>
              <w:ind w:firstLine="480" w:firstLineChars="200"/>
              <w:jc w:val="left"/>
              <w:rPr>
                <w:color w:val="auto"/>
                <w:sz w:val="24"/>
                <w:szCs w:val="24"/>
              </w:rPr>
            </w:pPr>
            <w:r>
              <w:rPr>
                <w:color w:val="auto"/>
                <w:sz w:val="24"/>
                <w:szCs w:val="24"/>
              </w:rPr>
              <w:t>3、</w:t>
            </w:r>
            <w:r>
              <w:rPr>
                <w:rFonts w:hint="eastAsia"/>
                <w:color w:val="auto"/>
                <w:sz w:val="24"/>
                <w:szCs w:val="24"/>
              </w:rPr>
              <w:t>压缩空气</w:t>
            </w:r>
          </w:p>
          <w:p>
            <w:pPr>
              <w:spacing w:line="360" w:lineRule="auto"/>
              <w:ind w:firstLine="480" w:firstLineChars="200"/>
              <w:jc w:val="left"/>
              <w:rPr>
                <w:color w:val="auto"/>
                <w:sz w:val="24"/>
                <w:szCs w:val="24"/>
              </w:rPr>
            </w:pPr>
            <w:r>
              <w:rPr>
                <w:rFonts w:hint="eastAsia"/>
                <w:color w:val="auto"/>
                <w:sz w:val="24"/>
                <w:szCs w:val="24"/>
              </w:rPr>
              <w:t>新建6</w:t>
            </w:r>
            <w:r>
              <w:rPr>
                <w:color w:val="auto"/>
                <w:sz w:val="24"/>
                <w:szCs w:val="24"/>
              </w:rPr>
              <w:t>.8m</w:t>
            </w:r>
            <w:r>
              <w:rPr>
                <w:color w:val="auto"/>
                <w:sz w:val="24"/>
                <w:szCs w:val="24"/>
                <w:vertAlign w:val="superscript"/>
              </w:rPr>
              <w:t>3</w:t>
            </w:r>
            <w:r>
              <w:rPr>
                <w:color w:val="auto"/>
                <w:sz w:val="24"/>
                <w:szCs w:val="24"/>
              </w:rPr>
              <w:t>/min</w:t>
            </w:r>
            <w:r>
              <w:rPr>
                <w:rFonts w:hint="eastAsia"/>
                <w:color w:val="auto"/>
                <w:sz w:val="24"/>
                <w:szCs w:val="24"/>
              </w:rPr>
              <w:t>空压机3</w:t>
            </w:r>
            <w:r>
              <w:rPr>
                <w:color w:val="auto"/>
                <w:sz w:val="24"/>
                <w:szCs w:val="24"/>
              </w:rPr>
              <w:t>台</w:t>
            </w:r>
            <w:r>
              <w:rPr>
                <w:rFonts w:hint="eastAsia"/>
                <w:color w:val="auto"/>
                <w:sz w:val="24"/>
                <w:szCs w:val="24"/>
              </w:rPr>
              <w:t>，配套建设10m</w:t>
            </w:r>
            <w:r>
              <w:rPr>
                <w:rFonts w:hint="eastAsia"/>
                <w:color w:val="auto"/>
                <w:sz w:val="24"/>
                <w:szCs w:val="24"/>
                <w:vertAlign w:val="superscript"/>
              </w:rPr>
              <w:t>3</w:t>
            </w:r>
            <w:r>
              <w:rPr>
                <w:rFonts w:hint="eastAsia"/>
                <w:color w:val="auto"/>
                <w:sz w:val="24"/>
                <w:szCs w:val="24"/>
              </w:rPr>
              <w:t>储气罐2台、5m</w:t>
            </w:r>
            <w:r>
              <w:rPr>
                <w:rFonts w:hint="eastAsia"/>
                <w:color w:val="auto"/>
                <w:sz w:val="24"/>
                <w:szCs w:val="24"/>
                <w:vertAlign w:val="superscript"/>
              </w:rPr>
              <w:t>3</w:t>
            </w:r>
            <w:r>
              <w:rPr>
                <w:rFonts w:hint="eastAsia"/>
                <w:color w:val="auto"/>
                <w:sz w:val="24"/>
                <w:szCs w:val="24"/>
              </w:rPr>
              <w:t>储气罐1台，为3套脱硫除尘系统袋式除尘器、脱硫塔供应压缩空气。</w:t>
            </w:r>
          </w:p>
          <w:p>
            <w:pPr>
              <w:spacing w:line="360" w:lineRule="auto"/>
              <w:ind w:firstLine="482" w:firstLineChars="200"/>
              <w:jc w:val="left"/>
              <w:rPr>
                <w:b/>
                <w:bCs/>
                <w:color w:val="auto"/>
                <w:sz w:val="24"/>
                <w:szCs w:val="24"/>
              </w:rPr>
            </w:pPr>
            <w:r>
              <w:rPr>
                <w:b/>
                <w:bCs/>
                <w:color w:val="auto"/>
                <w:sz w:val="24"/>
                <w:szCs w:val="24"/>
              </w:rPr>
              <w:t>八、平面布置及四邻关系</w:t>
            </w:r>
          </w:p>
          <w:p>
            <w:pPr>
              <w:spacing w:line="360" w:lineRule="auto"/>
              <w:ind w:firstLine="480" w:firstLineChars="200"/>
              <w:jc w:val="left"/>
              <w:rPr>
                <w:color w:val="auto"/>
                <w:sz w:val="24"/>
                <w:szCs w:val="24"/>
              </w:rPr>
            </w:pPr>
            <w:r>
              <w:rPr>
                <w:color w:val="auto"/>
                <w:sz w:val="24"/>
                <w:szCs w:val="24"/>
              </w:rPr>
              <w:t>1、项目总平面布置</w:t>
            </w:r>
          </w:p>
          <w:p>
            <w:pPr>
              <w:spacing w:line="360" w:lineRule="auto"/>
              <w:ind w:firstLine="480"/>
              <w:rPr>
                <w:color w:val="auto"/>
                <w:sz w:val="24"/>
                <w:szCs w:val="24"/>
              </w:rPr>
            </w:pPr>
            <w:r>
              <w:rPr>
                <w:color w:val="auto"/>
                <w:sz w:val="24"/>
                <w:szCs w:val="24"/>
              </w:rPr>
              <w:t>项目</w:t>
            </w:r>
            <w:r>
              <w:rPr>
                <w:rFonts w:hint="eastAsia"/>
                <w:color w:val="auto"/>
                <w:sz w:val="24"/>
                <w:szCs w:val="24"/>
              </w:rPr>
              <w:t>东西方向按照生产需求布置成一区、二区及冷却塔三大区域，其中西侧一区由北向南依次布置办公楼、一区1、2号汽轮机厂房、</w:t>
            </w:r>
            <w:r>
              <w:rPr>
                <w:color w:val="auto"/>
                <w:sz w:val="24"/>
                <w:szCs w:val="24"/>
              </w:rPr>
              <w:t>3</w:t>
            </w:r>
            <w:r>
              <w:rPr>
                <w:rFonts w:hint="eastAsia"/>
                <w:color w:val="auto"/>
                <w:sz w:val="24"/>
                <w:szCs w:val="24"/>
              </w:rPr>
              <w:t>台燃气锅炉（1#、2#、3#炉）及其脱硫除尘设施，最南侧为一期、二期化学水制备；中部主要布置一区及二区循环冷却塔；东侧二区主要由北向南依次布置二区汽轮机厂房、2台燃气锅炉（4#、5#炉）及其脱硫除尘设施等</w:t>
            </w:r>
            <w:r>
              <w:rPr>
                <w:color w:val="auto"/>
                <w:sz w:val="24"/>
                <w:szCs w:val="24"/>
              </w:rPr>
              <w:t>。项目平面布置图见附图</w:t>
            </w:r>
            <w:r>
              <w:rPr>
                <w:rFonts w:hint="eastAsia"/>
                <w:color w:val="auto"/>
                <w:sz w:val="24"/>
                <w:szCs w:val="24"/>
              </w:rPr>
              <w:t>2</w:t>
            </w:r>
            <w:r>
              <w:rPr>
                <w:color w:val="auto"/>
                <w:sz w:val="24"/>
                <w:szCs w:val="24"/>
              </w:rPr>
              <w:t>。</w:t>
            </w:r>
          </w:p>
          <w:p>
            <w:pPr>
              <w:spacing w:line="360" w:lineRule="auto"/>
              <w:ind w:firstLine="480"/>
              <w:rPr>
                <w:color w:val="auto"/>
                <w:sz w:val="24"/>
                <w:szCs w:val="24"/>
              </w:rPr>
            </w:pPr>
            <w:r>
              <w:rPr>
                <w:color w:val="auto"/>
                <w:sz w:val="24"/>
                <w:szCs w:val="24"/>
              </w:rPr>
              <w:t>2、四邻关系</w:t>
            </w:r>
          </w:p>
          <w:p>
            <w:pPr>
              <w:spacing w:line="360" w:lineRule="auto"/>
              <w:ind w:firstLine="480"/>
              <w:rPr>
                <w:color w:val="auto"/>
                <w:sz w:val="24"/>
                <w:szCs w:val="24"/>
              </w:rPr>
            </w:pPr>
            <w:r>
              <w:rPr>
                <w:rFonts w:hint="eastAsia"/>
                <w:color w:val="auto"/>
                <w:sz w:val="24"/>
                <w:szCs w:val="24"/>
              </w:rPr>
              <w:t>本项目位于韩城市龙门镇，北侧、西侧、东侧紧邻陕西龙门钢铁（集团）有限责任公司生产区，南侧为下峪口村</w:t>
            </w:r>
            <w:r>
              <w:rPr>
                <w:color w:val="auto"/>
                <w:sz w:val="24"/>
                <w:szCs w:val="24"/>
              </w:rPr>
              <w:t>。项目四邻关系图见附图</w:t>
            </w:r>
            <w:r>
              <w:rPr>
                <w:rFonts w:hint="eastAsia"/>
                <w:color w:val="auto"/>
                <w:sz w:val="24"/>
                <w:szCs w:val="24"/>
              </w:rPr>
              <w:t>3</w:t>
            </w:r>
            <w:r>
              <w:rPr>
                <w:color w:val="auto"/>
                <w:sz w:val="24"/>
                <w:szCs w:val="24"/>
              </w:rPr>
              <w:t>。</w:t>
            </w:r>
          </w:p>
          <w:p>
            <w:pPr>
              <w:spacing w:line="360" w:lineRule="auto"/>
              <w:ind w:firstLine="482" w:firstLineChars="200"/>
              <w:jc w:val="left"/>
              <w:rPr>
                <w:b/>
                <w:bCs/>
                <w:color w:val="auto"/>
                <w:sz w:val="24"/>
                <w:szCs w:val="24"/>
              </w:rPr>
            </w:pPr>
            <w:r>
              <w:rPr>
                <w:b/>
                <w:bCs/>
                <w:color w:val="auto"/>
                <w:sz w:val="24"/>
                <w:szCs w:val="24"/>
              </w:rPr>
              <w:t>九、劳动定员及工作制度</w:t>
            </w:r>
          </w:p>
          <w:p>
            <w:pPr>
              <w:spacing w:line="360" w:lineRule="auto"/>
              <w:ind w:firstLine="480" w:firstLineChars="200"/>
              <w:jc w:val="left"/>
              <w:rPr>
                <w:color w:val="auto"/>
                <w:sz w:val="24"/>
                <w:szCs w:val="24"/>
              </w:rPr>
            </w:pPr>
            <w:r>
              <w:rPr>
                <w:color w:val="auto"/>
                <w:sz w:val="24"/>
                <w:szCs w:val="24"/>
              </w:rPr>
              <w:t>本项目</w:t>
            </w:r>
            <w:r>
              <w:rPr>
                <w:rFonts w:hint="eastAsia"/>
                <w:color w:val="auto"/>
                <w:sz w:val="24"/>
                <w:szCs w:val="24"/>
              </w:rPr>
              <w:t>不新增劳动定员，年工作3</w:t>
            </w:r>
            <w:r>
              <w:rPr>
                <w:color w:val="auto"/>
                <w:sz w:val="24"/>
                <w:szCs w:val="24"/>
              </w:rPr>
              <w:t>00</w:t>
            </w:r>
            <w:r>
              <w:rPr>
                <w:rFonts w:hint="eastAsia"/>
                <w:color w:val="auto"/>
                <w:sz w:val="24"/>
                <w:szCs w:val="24"/>
              </w:rPr>
              <w:t>d</w:t>
            </w:r>
            <w:r>
              <w:rPr>
                <w:color w:val="auto"/>
                <w:sz w:val="24"/>
                <w:szCs w:val="24"/>
              </w:rPr>
              <w:t>。</w:t>
            </w: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color w:val="auto"/>
                <w:sz w:val="28"/>
                <w:szCs w:val="28"/>
              </w:rPr>
            </w:pPr>
          </w:p>
          <w:p>
            <w:pPr>
              <w:spacing w:line="360" w:lineRule="auto"/>
              <w:jc w:val="left"/>
              <w:rPr>
                <w:rFonts w:hint="eastAsia"/>
                <w:color w:val="auto"/>
                <w:sz w:val="28"/>
                <w:szCs w:val="28"/>
              </w:rPr>
            </w:pPr>
          </w:p>
          <w:p>
            <w:pPr>
              <w:spacing w:line="360" w:lineRule="auto"/>
              <w:jc w:val="left"/>
              <w:rPr>
                <w:color w:val="auto"/>
                <w:sz w:val="28"/>
                <w:szCs w:val="28"/>
              </w:rPr>
            </w:pPr>
          </w:p>
          <w:p>
            <w:pPr>
              <w:spacing w:line="360" w:lineRule="auto"/>
              <w:jc w:val="left"/>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jc w:val="center"/>
        </w:trPr>
        <w:tc>
          <w:tcPr>
            <w:tcW w:w="9287" w:type="dxa"/>
            <w:gridSpan w:val="9"/>
            <w:tcBorders>
              <w:top w:val="single" w:color="auto" w:sz="4" w:space="0"/>
              <w:left w:val="single" w:color="auto" w:sz="12" w:space="0"/>
              <w:bottom w:val="single" w:color="auto" w:sz="12" w:space="0"/>
              <w:right w:val="single" w:color="auto" w:sz="12" w:space="0"/>
            </w:tcBorders>
          </w:tcPr>
          <w:p>
            <w:pPr>
              <w:spacing w:before="156" w:beforeLines="50" w:after="156" w:afterLines="50"/>
              <w:rPr>
                <w:color w:val="auto"/>
                <w:sz w:val="28"/>
                <w:szCs w:val="20"/>
              </w:rPr>
            </w:pPr>
            <w:r>
              <w:rPr>
                <w:color w:val="auto"/>
                <w:sz w:val="28"/>
                <w:szCs w:val="20"/>
              </w:rPr>
              <w:t>与本项目有关的原有污染情况及主要环境问题：</w:t>
            </w:r>
          </w:p>
          <w:p>
            <w:pPr>
              <w:spacing w:line="360" w:lineRule="auto"/>
              <w:ind w:firstLine="482" w:firstLineChars="200"/>
              <w:rPr>
                <w:b/>
                <w:color w:val="auto"/>
                <w:sz w:val="24"/>
                <w:szCs w:val="20"/>
              </w:rPr>
            </w:pPr>
            <w:r>
              <w:rPr>
                <w:rFonts w:hint="eastAsia"/>
                <w:b/>
                <w:color w:val="auto"/>
                <w:sz w:val="24"/>
                <w:szCs w:val="20"/>
              </w:rPr>
              <w:t>一、现有工程概况</w:t>
            </w:r>
          </w:p>
          <w:p>
            <w:pPr>
              <w:spacing w:line="360" w:lineRule="auto"/>
              <w:ind w:firstLine="480"/>
              <w:rPr>
                <w:color w:val="auto"/>
                <w:sz w:val="24"/>
                <w:szCs w:val="24"/>
              </w:rPr>
            </w:pPr>
            <w:r>
              <w:rPr>
                <w:rFonts w:hint="eastAsia"/>
                <w:color w:val="auto"/>
                <w:sz w:val="24"/>
                <w:szCs w:val="24"/>
              </w:rPr>
              <w:t>现有工程分三期已建成燃气锅炉5台、发电汽轮机组6组，发电装机容量1</w:t>
            </w:r>
            <w:r>
              <w:rPr>
                <w:color w:val="auto"/>
                <w:sz w:val="24"/>
                <w:szCs w:val="24"/>
              </w:rPr>
              <w:t>34MW</w:t>
            </w:r>
            <w:r>
              <w:rPr>
                <w:rFonts w:hint="eastAsia"/>
                <w:color w:val="auto"/>
                <w:sz w:val="24"/>
                <w:szCs w:val="24"/>
              </w:rPr>
              <w:t>。</w:t>
            </w:r>
          </w:p>
          <w:p>
            <w:pPr>
              <w:spacing w:line="360" w:lineRule="auto"/>
              <w:ind w:firstLine="480"/>
              <w:rPr>
                <w:color w:val="auto"/>
                <w:sz w:val="24"/>
                <w:szCs w:val="24"/>
              </w:rPr>
            </w:pPr>
            <w:r>
              <w:rPr>
                <w:rFonts w:hint="eastAsia"/>
                <w:color w:val="auto"/>
                <w:sz w:val="24"/>
                <w:szCs w:val="24"/>
              </w:rPr>
              <w:t>其中一期（1#炉）：设计建设</w:t>
            </w:r>
            <w:r>
              <w:rPr>
                <w:color w:val="auto"/>
                <w:sz w:val="24"/>
                <w:szCs w:val="24"/>
              </w:rPr>
              <w:t>2</w:t>
            </w:r>
            <w:r>
              <w:rPr>
                <w:rFonts w:hint="eastAsia"/>
                <w:color w:val="auto"/>
                <w:sz w:val="24"/>
                <w:szCs w:val="24"/>
              </w:rPr>
              <w:t>×</w:t>
            </w:r>
            <w:r>
              <w:rPr>
                <w:color w:val="auto"/>
                <w:sz w:val="24"/>
                <w:szCs w:val="24"/>
              </w:rPr>
              <w:t>12MW</w:t>
            </w:r>
            <w:r>
              <w:rPr>
                <w:rFonts w:hint="eastAsia"/>
                <w:color w:val="auto"/>
                <w:sz w:val="24"/>
                <w:szCs w:val="24"/>
              </w:rPr>
              <w:t>抽凝式汽轮发电机组+</w:t>
            </w:r>
            <w:r>
              <w:rPr>
                <w:color w:val="auto"/>
                <w:sz w:val="24"/>
                <w:szCs w:val="24"/>
              </w:rPr>
              <w:t>2</w:t>
            </w:r>
            <w:r>
              <w:rPr>
                <w:rFonts w:hint="eastAsia"/>
                <w:color w:val="auto"/>
                <w:sz w:val="24"/>
                <w:szCs w:val="24"/>
              </w:rPr>
              <w:t>×</w:t>
            </w:r>
            <w:r>
              <w:rPr>
                <w:color w:val="auto"/>
                <w:sz w:val="24"/>
                <w:szCs w:val="24"/>
              </w:rPr>
              <w:t>75</w:t>
            </w:r>
            <w:r>
              <w:rPr>
                <w:rFonts w:hint="eastAsia"/>
                <w:color w:val="auto"/>
                <w:sz w:val="24"/>
                <w:szCs w:val="24"/>
              </w:rPr>
              <w:t>t</w:t>
            </w:r>
            <w:r>
              <w:rPr>
                <w:color w:val="auto"/>
                <w:sz w:val="24"/>
                <w:szCs w:val="24"/>
              </w:rPr>
              <w:t>/</w:t>
            </w:r>
            <w:r>
              <w:rPr>
                <w:rFonts w:hint="eastAsia"/>
                <w:color w:val="auto"/>
                <w:sz w:val="24"/>
                <w:szCs w:val="24"/>
              </w:rPr>
              <w:t>h循环流化床锅炉，以洗中煤和高炉煤气混烧，其环境影响报告书于2</w:t>
            </w:r>
            <w:r>
              <w:rPr>
                <w:color w:val="auto"/>
                <w:sz w:val="24"/>
                <w:szCs w:val="24"/>
              </w:rPr>
              <w:t>003</w:t>
            </w:r>
            <w:r>
              <w:rPr>
                <w:rFonts w:hint="eastAsia"/>
                <w:color w:val="auto"/>
                <w:sz w:val="24"/>
                <w:szCs w:val="24"/>
              </w:rPr>
              <w:t>年1</w:t>
            </w:r>
            <w:r>
              <w:rPr>
                <w:color w:val="auto"/>
                <w:sz w:val="24"/>
                <w:szCs w:val="24"/>
              </w:rPr>
              <w:t>2</w:t>
            </w:r>
            <w:r>
              <w:rPr>
                <w:rFonts w:hint="eastAsia"/>
                <w:color w:val="auto"/>
                <w:sz w:val="24"/>
                <w:szCs w:val="24"/>
              </w:rPr>
              <w:t>月2</w:t>
            </w:r>
            <w:r>
              <w:rPr>
                <w:color w:val="auto"/>
                <w:sz w:val="24"/>
                <w:szCs w:val="24"/>
              </w:rPr>
              <w:t>4</w:t>
            </w:r>
            <w:r>
              <w:rPr>
                <w:rFonts w:hint="eastAsia"/>
                <w:color w:val="auto"/>
                <w:sz w:val="24"/>
                <w:szCs w:val="24"/>
              </w:rPr>
              <w:t>日获得（原）陕西省环境保护局审批意见（陕环函[</w:t>
            </w:r>
            <w:r>
              <w:rPr>
                <w:color w:val="auto"/>
                <w:sz w:val="24"/>
                <w:szCs w:val="24"/>
              </w:rPr>
              <w:t>2003]345</w:t>
            </w:r>
            <w:r>
              <w:rPr>
                <w:rFonts w:hint="eastAsia"/>
                <w:color w:val="auto"/>
                <w:sz w:val="24"/>
                <w:szCs w:val="24"/>
              </w:rPr>
              <w:t>号）；2</w:t>
            </w:r>
            <w:r>
              <w:rPr>
                <w:color w:val="auto"/>
                <w:sz w:val="24"/>
                <w:szCs w:val="24"/>
              </w:rPr>
              <w:t>005</w:t>
            </w:r>
            <w:r>
              <w:rPr>
                <w:rFonts w:hint="eastAsia"/>
                <w:color w:val="auto"/>
                <w:sz w:val="24"/>
                <w:szCs w:val="24"/>
              </w:rPr>
              <w:t>年4月申请项目内容变更，进行环境影响评价补充说明，变更后建设内容：1×</w:t>
            </w:r>
            <w:r>
              <w:rPr>
                <w:color w:val="auto"/>
                <w:sz w:val="24"/>
                <w:szCs w:val="24"/>
              </w:rPr>
              <w:t>25MW</w:t>
            </w:r>
            <w:r>
              <w:rPr>
                <w:rFonts w:hint="eastAsia"/>
                <w:color w:val="auto"/>
                <w:sz w:val="24"/>
                <w:szCs w:val="24"/>
              </w:rPr>
              <w:t>抽凝式汽轮发电机组+</w:t>
            </w:r>
            <w:r>
              <w:rPr>
                <w:color w:val="auto"/>
                <w:sz w:val="24"/>
                <w:szCs w:val="24"/>
              </w:rPr>
              <w:t>1</w:t>
            </w:r>
            <w:r>
              <w:rPr>
                <w:rFonts w:hint="eastAsia"/>
                <w:color w:val="auto"/>
                <w:sz w:val="24"/>
                <w:szCs w:val="24"/>
              </w:rPr>
              <w:t>×</w:t>
            </w:r>
            <w:r>
              <w:rPr>
                <w:color w:val="auto"/>
                <w:sz w:val="24"/>
                <w:szCs w:val="24"/>
              </w:rPr>
              <w:t>130</w:t>
            </w:r>
            <w:r>
              <w:rPr>
                <w:rFonts w:hint="eastAsia"/>
                <w:color w:val="auto"/>
                <w:sz w:val="24"/>
                <w:szCs w:val="24"/>
              </w:rPr>
              <w:t>t</w:t>
            </w:r>
            <w:r>
              <w:rPr>
                <w:color w:val="auto"/>
                <w:sz w:val="24"/>
                <w:szCs w:val="24"/>
              </w:rPr>
              <w:t>/</w:t>
            </w:r>
            <w:r>
              <w:rPr>
                <w:rFonts w:hint="eastAsia"/>
                <w:color w:val="auto"/>
                <w:sz w:val="24"/>
                <w:szCs w:val="24"/>
              </w:rPr>
              <w:t>h燃气锅炉，全部以高炉煤气为燃料，环境影响评价补充说明于2</w:t>
            </w:r>
            <w:r>
              <w:rPr>
                <w:color w:val="auto"/>
                <w:sz w:val="24"/>
                <w:szCs w:val="24"/>
              </w:rPr>
              <w:t>005</w:t>
            </w:r>
            <w:r>
              <w:rPr>
                <w:rFonts w:hint="eastAsia"/>
                <w:color w:val="auto"/>
                <w:sz w:val="24"/>
                <w:szCs w:val="24"/>
              </w:rPr>
              <w:t>年5月获取（原）陕西省环境保护局审查意见（陕环函[</w:t>
            </w:r>
            <w:r>
              <w:rPr>
                <w:color w:val="auto"/>
                <w:sz w:val="24"/>
                <w:szCs w:val="24"/>
              </w:rPr>
              <w:t>2005]106</w:t>
            </w:r>
            <w:r>
              <w:rPr>
                <w:rFonts w:hint="eastAsia"/>
                <w:color w:val="auto"/>
                <w:sz w:val="24"/>
                <w:szCs w:val="24"/>
              </w:rPr>
              <w:t>号），2</w:t>
            </w:r>
            <w:r>
              <w:rPr>
                <w:color w:val="auto"/>
                <w:sz w:val="24"/>
                <w:szCs w:val="24"/>
              </w:rPr>
              <w:t>015</w:t>
            </w:r>
            <w:r>
              <w:rPr>
                <w:rFonts w:hint="eastAsia"/>
                <w:color w:val="auto"/>
                <w:sz w:val="24"/>
                <w:szCs w:val="24"/>
              </w:rPr>
              <w:t>年1</w:t>
            </w:r>
            <w:r>
              <w:rPr>
                <w:color w:val="auto"/>
                <w:sz w:val="24"/>
                <w:szCs w:val="24"/>
              </w:rPr>
              <w:t>1</w:t>
            </w:r>
            <w:r>
              <w:rPr>
                <w:rFonts w:hint="eastAsia"/>
                <w:color w:val="auto"/>
                <w:sz w:val="24"/>
                <w:szCs w:val="24"/>
              </w:rPr>
              <w:t>月通过竣工环保验收并取得验收批复（陕环批复[</w:t>
            </w:r>
            <w:r>
              <w:rPr>
                <w:color w:val="auto"/>
                <w:sz w:val="24"/>
                <w:szCs w:val="24"/>
              </w:rPr>
              <w:t>2015]758</w:t>
            </w:r>
            <w:r>
              <w:rPr>
                <w:rFonts w:hint="eastAsia"/>
                <w:color w:val="auto"/>
                <w:sz w:val="24"/>
                <w:szCs w:val="24"/>
              </w:rPr>
              <w:t>号）。</w:t>
            </w:r>
          </w:p>
          <w:p>
            <w:pPr>
              <w:spacing w:line="360" w:lineRule="auto"/>
              <w:ind w:firstLine="480"/>
              <w:rPr>
                <w:color w:val="auto"/>
                <w:sz w:val="24"/>
                <w:szCs w:val="24"/>
              </w:rPr>
            </w:pPr>
            <w:r>
              <w:rPr>
                <w:rFonts w:hint="eastAsia"/>
                <w:color w:val="auto"/>
                <w:sz w:val="24"/>
                <w:szCs w:val="24"/>
              </w:rPr>
              <w:t>二期（2#炉）建设内容为1×</w:t>
            </w:r>
            <w:r>
              <w:rPr>
                <w:color w:val="auto"/>
                <w:sz w:val="24"/>
                <w:szCs w:val="24"/>
              </w:rPr>
              <w:t>25MW</w:t>
            </w:r>
            <w:r>
              <w:rPr>
                <w:rFonts w:hint="eastAsia"/>
                <w:color w:val="auto"/>
                <w:sz w:val="24"/>
                <w:szCs w:val="24"/>
              </w:rPr>
              <w:t>抽凝式汽轮发电机组+</w:t>
            </w:r>
            <w:r>
              <w:rPr>
                <w:color w:val="auto"/>
                <w:sz w:val="24"/>
                <w:szCs w:val="24"/>
              </w:rPr>
              <w:t>1</w:t>
            </w:r>
            <w:r>
              <w:rPr>
                <w:rFonts w:hint="eastAsia"/>
                <w:color w:val="auto"/>
                <w:sz w:val="24"/>
                <w:szCs w:val="24"/>
              </w:rPr>
              <w:t>×</w:t>
            </w:r>
            <w:r>
              <w:rPr>
                <w:color w:val="auto"/>
                <w:sz w:val="24"/>
                <w:szCs w:val="24"/>
              </w:rPr>
              <w:t>130</w:t>
            </w:r>
            <w:r>
              <w:rPr>
                <w:rFonts w:hint="eastAsia"/>
                <w:color w:val="auto"/>
                <w:sz w:val="24"/>
                <w:szCs w:val="24"/>
              </w:rPr>
              <w:t>t</w:t>
            </w:r>
            <w:r>
              <w:rPr>
                <w:color w:val="auto"/>
                <w:sz w:val="24"/>
                <w:szCs w:val="24"/>
              </w:rPr>
              <w:t>/</w:t>
            </w:r>
            <w:r>
              <w:rPr>
                <w:rFonts w:hint="eastAsia"/>
                <w:color w:val="auto"/>
                <w:sz w:val="24"/>
                <w:szCs w:val="24"/>
              </w:rPr>
              <w:t>h燃气锅炉，2</w:t>
            </w:r>
            <w:r>
              <w:rPr>
                <w:color w:val="auto"/>
                <w:sz w:val="24"/>
                <w:szCs w:val="24"/>
              </w:rPr>
              <w:t>006</w:t>
            </w:r>
            <w:r>
              <w:rPr>
                <w:rFonts w:hint="eastAsia"/>
                <w:color w:val="auto"/>
                <w:sz w:val="24"/>
                <w:szCs w:val="24"/>
              </w:rPr>
              <w:t>年4月取得环境影响报告表批复（陕环批复[</w:t>
            </w:r>
            <w:r>
              <w:rPr>
                <w:color w:val="auto"/>
                <w:sz w:val="24"/>
                <w:szCs w:val="24"/>
              </w:rPr>
              <w:t>2006]85</w:t>
            </w:r>
            <w:r>
              <w:rPr>
                <w:rFonts w:hint="eastAsia"/>
                <w:color w:val="auto"/>
                <w:sz w:val="24"/>
                <w:szCs w:val="24"/>
              </w:rPr>
              <w:t>号），2</w:t>
            </w:r>
            <w:r>
              <w:rPr>
                <w:color w:val="auto"/>
                <w:sz w:val="24"/>
                <w:szCs w:val="24"/>
              </w:rPr>
              <w:t>015</w:t>
            </w:r>
            <w:r>
              <w:rPr>
                <w:rFonts w:hint="eastAsia"/>
                <w:color w:val="auto"/>
                <w:sz w:val="24"/>
                <w:szCs w:val="24"/>
              </w:rPr>
              <w:t>年1</w:t>
            </w:r>
            <w:r>
              <w:rPr>
                <w:color w:val="auto"/>
                <w:sz w:val="24"/>
                <w:szCs w:val="24"/>
              </w:rPr>
              <w:t>1</w:t>
            </w:r>
            <w:r>
              <w:rPr>
                <w:rFonts w:hint="eastAsia"/>
                <w:color w:val="auto"/>
                <w:sz w:val="24"/>
                <w:szCs w:val="24"/>
              </w:rPr>
              <w:t>月通过竣工环保验收并取得验收批复（陕环批复[</w:t>
            </w:r>
            <w:r>
              <w:rPr>
                <w:color w:val="auto"/>
                <w:sz w:val="24"/>
                <w:szCs w:val="24"/>
              </w:rPr>
              <w:t>2015]754</w:t>
            </w:r>
            <w:r>
              <w:rPr>
                <w:rFonts w:hint="eastAsia"/>
                <w:color w:val="auto"/>
                <w:sz w:val="24"/>
                <w:szCs w:val="24"/>
              </w:rPr>
              <w:t>号）。</w:t>
            </w:r>
          </w:p>
          <w:p>
            <w:pPr>
              <w:spacing w:line="360" w:lineRule="auto"/>
              <w:ind w:firstLine="480"/>
              <w:rPr>
                <w:color w:val="auto"/>
                <w:sz w:val="24"/>
                <w:szCs w:val="24"/>
              </w:rPr>
            </w:pPr>
            <w:r>
              <w:rPr>
                <w:rFonts w:hint="eastAsia"/>
                <w:color w:val="auto"/>
                <w:sz w:val="24"/>
                <w:szCs w:val="24"/>
              </w:rPr>
              <w:t>2</w:t>
            </w:r>
            <w:r>
              <w:rPr>
                <w:color w:val="auto"/>
                <w:sz w:val="24"/>
                <w:szCs w:val="24"/>
              </w:rPr>
              <w:t>008</w:t>
            </w:r>
            <w:r>
              <w:rPr>
                <w:rFonts w:hint="eastAsia"/>
                <w:color w:val="auto"/>
                <w:sz w:val="24"/>
                <w:szCs w:val="24"/>
              </w:rPr>
              <w:t>年5月新建1×1</w:t>
            </w:r>
            <w:r>
              <w:rPr>
                <w:color w:val="auto"/>
                <w:sz w:val="24"/>
                <w:szCs w:val="24"/>
              </w:rPr>
              <w:t>70</w:t>
            </w:r>
            <w:r>
              <w:rPr>
                <w:rFonts w:hint="eastAsia"/>
                <w:color w:val="auto"/>
                <w:sz w:val="24"/>
                <w:szCs w:val="24"/>
              </w:rPr>
              <w:t>t</w:t>
            </w:r>
            <w:r>
              <w:rPr>
                <w:color w:val="auto"/>
                <w:sz w:val="24"/>
                <w:szCs w:val="24"/>
              </w:rPr>
              <w:t>/</w:t>
            </w:r>
            <w:r>
              <w:rPr>
                <w:rFonts w:hint="eastAsia"/>
                <w:color w:val="auto"/>
                <w:sz w:val="24"/>
                <w:szCs w:val="24"/>
              </w:rPr>
              <w:t>h燃气锅炉（3#炉），为陕西龙门钢铁（集团）有限责任公司提供蒸汽，填报环境影响登记表，2</w:t>
            </w:r>
            <w:r>
              <w:rPr>
                <w:color w:val="auto"/>
                <w:sz w:val="24"/>
                <w:szCs w:val="24"/>
              </w:rPr>
              <w:t>008</w:t>
            </w:r>
            <w:r>
              <w:rPr>
                <w:rFonts w:hint="eastAsia"/>
                <w:color w:val="auto"/>
                <w:sz w:val="24"/>
                <w:szCs w:val="24"/>
              </w:rPr>
              <w:t>年6月取得环评批复，2</w:t>
            </w:r>
            <w:r>
              <w:rPr>
                <w:color w:val="auto"/>
                <w:sz w:val="24"/>
                <w:szCs w:val="24"/>
              </w:rPr>
              <w:t>016</w:t>
            </w:r>
            <w:r>
              <w:rPr>
                <w:rFonts w:hint="eastAsia"/>
                <w:color w:val="auto"/>
                <w:sz w:val="24"/>
                <w:szCs w:val="24"/>
              </w:rPr>
              <w:t>年3月通过竣工环保验收并取得验收批复（韩环发[</w:t>
            </w:r>
            <w:r>
              <w:rPr>
                <w:color w:val="auto"/>
                <w:sz w:val="24"/>
                <w:szCs w:val="24"/>
              </w:rPr>
              <w:t>2016]28</w:t>
            </w:r>
            <w:r>
              <w:rPr>
                <w:rFonts w:hint="eastAsia"/>
                <w:color w:val="auto"/>
                <w:sz w:val="24"/>
                <w:szCs w:val="24"/>
              </w:rPr>
              <w:t>号）。</w:t>
            </w:r>
          </w:p>
          <w:p>
            <w:pPr>
              <w:spacing w:line="360" w:lineRule="auto"/>
              <w:ind w:firstLine="480"/>
              <w:rPr>
                <w:color w:val="auto"/>
                <w:sz w:val="24"/>
                <w:szCs w:val="24"/>
              </w:rPr>
            </w:pPr>
            <w:r>
              <w:rPr>
                <w:rFonts w:hint="eastAsia"/>
                <w:color w:val="auto"/>
                <w:sz w:val="24"/>
                <w:szCs w:val="24"/>
              </w:rPr>
              <w:t>三期（4#、5#炉）主要建设内容为</w:t>
            </w:r>
            <w:r>
              <w:rPr>
                <w:color w:val="auto"/>
                <w:sz w:val="24"/>
                <w:szCs w:val="24"/>
              </w:rPr>
              <w:t>2</w:t>
            </w:r>
            <w:r>
              <w:rPr>
                <w:rFonts w:hint="eastAsia"/>
                <w:color w:val="auto"/>
                <w:sz w:val="24"/>
                <w:szCs w:val="24"/>
              </w:rPr>
              <w:t>×</w:t>
            </w:r>
            <w:r>
              <w:rPr>
                <w:color w:val="auto"/>
                <w:sz w:val="24"/>
                <w:szCs w:val="24"/>
              </w:rPr>
              <w:t>30MW</w:t>
            </w:r>
            <w:r>
              <w:rPr>
                <w:rFonts w:hint="eastAsia"/>
                <w:color w:val="auto"/>
                <w:sz w:val="24"/>
                <w:szCs w:val="24"/>
              </w:rPr>
              <w:t>凝汽式机组+</w:t>
            </w:r>
            <w:r>
              <w:rPr>
                <w:color w:val="auto"/>
                <w:sz w:val="24"/>
                <w:szCs w:val="24"/>
              </w:rPr>
              <w:t>2</w:t>
            </w:r>
            <w:r>
              <w:rPr>
                <w:rFonts w:hint="eastAsia"/>
                <w:color w:val="auto"/>
                <w:sz w:val="24"/>
                <w:szCs w:val="24"/>
              </w:rPr>
              <w:t>×</w:t>
            </w:r>
            <w:r>
              <w:rPr>
                <w:color w:val="auto"/>
                <w:sz w:val="24"/>
                <w:szCs w:val="24"/>
              </w:rPr>
              <w:t>12MW</w:t>
            </w:r>
            <w:r>
              <w:rPr>
                <w:rFonts w:hint="eastAsia"/>
                <w:color w:val="auto"/>
                <w:sz w:val="24"/>
                <w:szCs w:val="24"/>
              </w:rPr>
              <w:t>背压式机组+</w:t>
            </w:r>
            <w:r>
              <w:rPr>
                <w:color w:val="auto"/>
                <w:sz w:val="24"/>
                <w:szCs w:val="24"/>
              </w:rPr>
              <w:t>2</w:t>
            </w:r>
            <w:r>
              <w:rPr>
                <w:rFonts w:hint="eastAsia"/>
                <w:color w:val="auto"/>
                <w:sz w:val="24"/>
                <w:szCs w:val="24"/>
              </w:rPr>
              <w:t>×</w:t>
            </w:r>
            <w:r>
              <w:rPr>
                <w:color w:val="auto"/>
                <w:sz w:val="24"/>
                <w:szCs w:val="24"/>
              </w:rPr>
              <w:t>240</w:t>
            </w:r>
            <w:r>
              <w:rPr>
                <w:rFonts w:hint="eastAsia"/>
                <w:color w:val="auto"/>
                <w:sz w:val="24"/>
                <w:szCs w:val="24"/>
              </w:rPr>
              <w:t>t</w:t>
            </w:r>
            <w:r>
              <w:rPr>
                <w:color w:val="auto"/>
                <w:sz w:val="24"/>
                <w:szCs w:val="24"/>
              </w:rPr>
              <w:t>/</w:t>
            </w:r>
            <w:r>
              <w:rPr>
                <w:rFonts w:hint="eastAsia"/>
                <w:color w:val="auto"/>
                <w:sz w:val="24"/>
                <w:szCs w:val="24"/>
              </w:rPr>
              <w:t>h高温高压燃气锅炉，2</w:t>
            </w:r>
            <w:r>
              <w:rPr>
                <w:color w:val="auto"/>
                <w:sz w:val="24"/>
                <w:szCs w:val="24"/>
              </w:rPr>
              <w:t>009</w:t>
            </w:r>
            <w:r>
              <w:rPr>
                <w:rFonts w:hint="eastAsia"/>
                <w:color w:val="auto"/>
                <w:sz w:val="24"/>
                <w:szCs w:val="24"/>
              </w:rPr>
              <w:t>年9月取得环评批复（陕环批复[</w:t>
            </w:r>
            <w:r>
              <w:rPr>
                <w:color w:val="auto"/>
                <w:sz w:val="24"/>
                <w:szCs w:val="24"/>
              </w:rPr>
              <w:t>2009]538</w:t>
            </w:r>
            <w:r>
              <w:rPr>
                <w:rFonts w:hint="eastAsia"/>
                <w:color w:val="auto"/>
                <w:sz w:val="24"/>
                <w:szCs w:val="24"/>
              </w:rPr>
              <w:t>号），2</w:t>
            </w:r>
            <w:r>
              <w:rPr>
                <w:color w:val="auto"/>
                <w:sz w:val="24"/>
                <w:szCs w:val="24"/>
              </w:rPr>
              <w:t>015</w:t>
            </w:r>
            <w:r>
              <w:rPr>
                <w:rFonts w:hint="eastAsia"/>
                <w:color w:val="auto"/>
                <w:sz w:val="24"/>
                <w:szCs w:val="24"/>
              </w:rPr>
              <w:t>年1</w:t>
            </w:r>
            <w:r>
              <w:rPr>
                <w:color w:val="auto"/>
                <w:sz w:val="24"/>
                <w:szCs w:val="24"/>
              </w:rPr>
              <w:t>1</w:t>
            </w:r>
            <w:r>
              <w:rPr>
                <w:rFonts w:hint="eastAsia"/>
                <w:color w:val="auto"/>
                <w:sz w:val="24"/>
                <w:szCs w:val="24"/>
              </w:rPr>
              <w:t>月通过竣工环保验收并取得验收批复（陕环批复[</w:t>
            </w:r>
            <w:r>
              <w:rPr>
                <w:color w:val="auto"/>
                <w:sz w:val="24"/>
                <w:szCs w:val="24"/>
              </w:rPr>
              <w:t>2015]759</w:t>
            </w:r>
            <w:r>
              <w:rPr>
                <w:rFonts w:hint="eastAsia"/>
                <w:color w:val="auto"/>
                <w:sz w:val="24"/>
                <w:szCs w:val="24"/>
              </w:rPr>
              <w:t>号）。</w:t>
            </w:r>
          </w:p>
          <w:p>
            <w:pPr>
              <w:spacing w:line="360" w:lineRule="auto"/>
              <w:ind w:firstLine="480"/>
              <w:rPr>
                <w:color w:val="auto"/>
                <w:sz w:val="24"/>
                <w:szCs w:val="24"/>
              </w:rPr>
            </w:pPr>
            <w:r>
              <w:rPr>
                <w:rFonts w:hint="eastAsia"/>
                <w:color w:val="auto"/>
                <w:sz w:val="24"/>
                <w:szCs w:val="24"/>
              </w:rPr>
              <w:t>现有工程分为一区、二区两个区域，其中一区主要建筑物包括配电室、办公楼、1#汽机厂房、2#汽机厂房、1#锅炉、2#锅炉、3#锅炉、1#烟囱、2#烟囱、一期化水车间、二期化水车间及一区冷却塔等；二区主要建筑物包括二区汽机房、4#锅炉、5#锅炉、二区主变、二区联合泵房、3#烟囱及二区冷却塔等。</w:t>
            </w:r>
          </w:p>
          <w:p>
            <w:pPr>
              <w:spacing w:line="360" w:lineRule="auto"/>
              <w:ind w:firstLine="482" w:firstLineChars="200"/>
              <w:rPr>
                <w:b/>
                <w:color w:val="auto"/>
                <w:sz w:val="24"/>
                <w:szCs w:val="20"/>
              </w:rPr>
            </w:pPr>
            <w:r>
              <w:rPr>
                <w:rFonts w:hint="eastAsia"/>
                <w:b/>
                <w:color w:val="auto"/>
                <w:sz w:val="24"/>
                <w:szCs w:val="20"/>
              </w:rPr>
              <w:t>二、现有工程环境影响评价“三同时”制度执行情况</w:t>
            </w:r>
          </w:p>
          <w:p>
            <w:pPr>
              <w:spacing w:line="360" w:lineRule="auto"/>
              <w:ind w:firstLine="480" w:firstLineChars="200"/>
              <w:rPr>
                <w:color w:val="auto"/>
                <w:sz w:val="24"/>
                <w:szCs w:val="20"/>
              </w:rPr>
            </w:pPr>
            <w:r>
              <w:rPr>
                <w:rFonts w:hint="eastAsia"/>
                <w:color w:val="auto"/>
                <w:sz w:val="24"/>
                <w:szCs w:val="20"/>
              </w:rPr>
              <w:t>现有工程环境影响评价“三同时”制度执行情况见表7。</w:t>
            </w:r>
          </w:p>
          <w:p>
            <w:pPr>
              <w:spacing w:line="360" w:lineRule="auto"/>
              <w:jc w:val="center"/>
              <w:rPr>
                <w:b/>
                <w:color w:val="auto"/>
                <w:sz w:val="24"/>
                <w:szCs w:val="20"/>
              </w:rPr>
            </w:pPr>
          </w:p>
          <w:p>
            <w:pPr>
              <w:spacing w:line="360" w:lineRule="auto"/>
              <w:jc w:val="center"/>
              <w:rPr>
                <w:b/>
                <w:color w:val="auto"/>
                <w:sz w:val="24"/>
                <w:szCs w:val="20"/>
              </w:rPr>
            </w:pPr>
          </w:p>
          <w:p>
            <w:pPr>
              <w:spacing w:line="360" w:lineRule="auto"/>
              <w:jc w:val="center"/>
              <w:rPr>
                <w:b/>
                <w:color w:val="auto"/>
                <w:sz w:val="24"/>
                <w:szCs w:val="20"/>
              </w:rPr>
            </w:pPr>
          </w:p>
          <w:p>
            <w:pPr>
              <w:spacing w:line="360" w:lineRule="auto"/>
              <w:jc w:val="center"/>
              <w:rPr>
                <w:b/>
                <w:color w:val="auto"/>
                <w:sz w:val="24"/>
                <w:szCs w:val="20"/>
              </w:rPr>
            </w:pPr>
          </w:p>
          <w:p>
            <w:pPr>
              <w:spacing w:line="360" w:lineRule="auto"/>
              <w:jc w:val="center"/>
              <w:rPr>
                <w:b/>
                <w:color w:val="auto"/>
                <w:sz w:val="24"/>
                <w:szCs w:val="20"/>
              </w:rPr>
            </w:pPr>
          </w:p>
          <w:p>
            <w:pPr>
              <w:spacing w:line="360" w:lineRule="auto"/>
              <w:jc w:val="center"/>
              <w:rPr>
                <w:b/>
                <w:color w:val="auto"/>
                <w:sz w:val="24"/>
                <w:szCs w:val="20"/>
              </w:rPr>
            </w:pPr>
            <w:r>
              <w:rPr>
                <w:rFonts w:hint="eastAsia"/>
                <w:b/>
                <w:color w:val="auto"/>
                <w:sz w:val="24"/>
                <w:szCs w:val="20"/>
              </w:rPr>
              <w:t>表7</w:t>
            </w:r>
            <w:r>
              <w:rPr>
                <w:b/>
                <w:color w:val="auto"/>
                <w:sz w:val="24"/>
                <w:szCs w:val="20"/>
              </w:rPr>
              <w:t xml:space="preserve">  </w:t>
            </w:r>
            <w:r>
              <w:rPr>
                <w:rFonts w:hint="eastAsia"/>
                <w:b/>
                <w:color w:val="auto"/>
                <w:sz w:val="24"/>
                <w:szCs w:val="20"/>
              </w:rPr>
              <w:t>现有工程环境影响评价“三同时”制度执行情况表</w:t>
            </w:r>
          </w:p>
          <w:tbl>
            <w:tblPr>
              <w:tblStyle w:val="26"/>
              <w:tblW w:w="904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07"/>
              <w:gridCol w:w="2509"/>
              <w:gridCol w:w="1277"/>
              <w:gridCol w:w="1275"/>
              <w:gridCol w:w="1624"/>
              <w:gridCol w:w="17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607" w:type="dxa"/>
                  <w:vAlign w:val="center"/>
                </w:tcPr>
                <w:p>
                  <w:pPr>
                    <w:jc w:val="center"/>
                    <w:rPr>
                      <w:color w:val="auto"/>
                      <w:lang w:bidi="ar-BH"/>
                    </w:rPr>
                  </w:pPr>
                  <w:r>
                    <w:rPr>
                      <w:rFonts w:hint="eastAsia"/>
                      <w:color w:val="auto"/>
                      <w:lang w:bidi="ar-BH"/>
                    </w:rPr>
                    <w:t>序号</w:t>
                  </w:r>
                </w:p>
              </w:tc>
              <w:tc>
                <w:tcPr>
                  <w:tcW w:w="2509" w:type="dxa"/>
                  <w:vAlign w:val="center"/>
                </w:tcPr>
                <w:p>
                  <w:pPr>
                    <w:jc w:val="center"/>
                    <w:rPr>
                      <w:color w:val="auto"/>
                      <w:lang w:bidi="ar-BH"/>
                    </w:rPr>
                  </w:pPr>
                  <w:r>
                    <w:rPr>
                      <w:rFonts w:hint="eastAsia" w:hAnsi="宋体"/>
                      <w:color w:val="auto"/>
                      <w:lang w:bidi="ar-BH"/>
                    </w:rPr>
                    <w:t>项目名称</w:t>
                  </w:r>
                </w:p>
              </w:tc>
              <w:tc>
                <w:tcPr>
                  <w:tcW w:w="1277" w:type="dxa"/>
                  <w:vAlign w:val="center"/>
                </w:tcPr>
                <w:p>
                  <w:pPr>
                    <w:jc w:val="center"/>
                    <w:rPr>
                      <w:color w:val="auto"/>
                      <w:lang w:bidi="ar-BH"/>
                    </w:rPr>
                  </w:pPr>
                  <w:r>
                    <w:rPr>
                      <w:rFonts w:hint="eastAsia"/>
                      <w:color w:val="auto"/>
                      <w:lang w:bidi="ar-BH"/>
                    </w:rPr>
                    <w:t>环评报告类别</w:t>
                  </w:r>
                </w:p>
              </w:tc>
              <w:tc>
                <w:tcPr>
                  <w:tcW w:w="1275" w:type="dxa"/>
                  <w:vAlign w:val="center"/>
                </w:tcPr>
                <w:p>
                  <w:pPr>
                    <w:jc w:val="center"/>
                    <w:rPr>
                      <w:color w:val="auto"/>
                      <w:lang w:bidi="ar-BH"/>
                    </w:rPr>
                  </w:pPr>
                  <w:r>
                    <w:rPr>
                      <w:rFonts w:hint="eastAsia"/>
                      <w:color w:val="auto"/>
                      <w:lang w:bidi="ar-BH"/>
                    </w:rPr>
                    <w:t>编制单位</w:t>
                  </w:r>
                </w:p>
              </w:tc>
              <w:tc>
                <w:tcPr>
                  <w:tcW w:w="1624" w:type="dxa"/>
                  <w:vAlign w:val="center"/>
                </w:tcPr>
                <w:p>
                  <w:pPr>
                    <w:jc w:val="center"/>
                    <w:rPr>
                      <w:rFonts w:hAnsi="宋体"/>
                      <w:color w:val="auto"/>
                      <w:lang w:bidi="ar-BH"/>
                    </w:rPr>
                  </w:pPr>
                  <w:r>
                    <w:rPr>
                      <w:rFonts w:hint="eastAsia" w:hAnsi="宋体"/>
                      <w:color w:val="auto"/>
                      <w:lang w:bidi="ar-BH"/>
                    </w:rPr>
                    <w:t>环评批复文号</w:t>
                  </w:r>
                </w:p>
              </w:tc>
              <w:tc>
                <w:tcPr>
                  <w:tcW w:w="1749" w:type="dxa"/>
                  <w:vAlign w:val="center"/>
                </w:tcPr>
                <w:p>
                  <w:pPr>
                    <w:jc w:val="center"/>
                    <w:rPr>
                      <w:color w:val="auto"/>
                      <w:lang w:bidi="ar-BH"/>
                    </w:rPr>
                  </w:pPr>
                  <w:r>
                    <w:rPr>
                      <w:rFonts w:hAnsi="宋体"/>
                      <w:color w:val="auto"/>
                      <w:lang w:bidi="ar-BH"/>
                    </w:rPr>
                    <w:t>验收文号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607" w:type="dxa"/>
                  <w:vMerge w:val="restart"/>
                  <w:vAlign w:val="center"/>
                </w:tcPr>
                <w:p>
                  <w:pPr>
                    <w:jc w:val="center"/>
                    <w:rPr>
                      <w:color w:val="auto"/>
                      <w:lang w:bidi="ar-BH"/>
                    </w:rPr>
                  </w:pPr>
                  <w:r>
                    <w:rPr>
                      <w:rFonts w:hint="eastAsia" w:hAnsi="宋体"/>
                      <w:color w:val="auto"/>
                      <w:lang w:bidi="ar-BH"/>
                    </w:rPr>
                    <w:t>1</w:t>
                  </w:r>
                </w:p>
              </w:tc>
              <w:tc>
                <w:tcPr>
                  <w:tcW w:w="2509" w:type="dxa"/>
                  <w:vAlign w:val="center"/>
                </w:tcPr>
                <w:p>
                  <w:pPr>
                    <w:jc w:val="center"/>
                    <w:rPr>
                      <w:color w:val="auto"/>
                      <w:lang w:bidi="ar-BH"/>
                    </w:rPr>
                  </w:pPr>
                  <w:r>
                    <w:rPr>
                      <w:rFonts w:hint="eastAsia"/>
                      <w:color w:val="auto"/>
                      <w:lang w:bidi="ar-BH"/>
                    </w:rPr>
                    <w:t>陕西龙门钢铁（集团）有限责任公司综合利用热电厂2×1</w:t>
                  </w:r>
                  <w:r>
                    <w:rPr>
                      <w:color w:val="auto"/>
                      <w:lang w:bidi="ar-BH"/>
                    </w:rPr>
                    <w:t>2MW</w:t>
                  </w:r>
                  <w:r>
                    <w:rPr>
                      <w:rFonts w:hint="eastAsia"/>
                      <w:color w:val="auto"/>
                      <w:lang w:bidi="ar-BH"/>
                    </w:rPr>
                    <w:t>机组建设项目</w:t>
                  </w:r>
                </w:p>
              </w:tc>
              <w:tc>
                <w:tcPr>
                  <w:tcW w:w="1277" w:type="dxa"/>
                  <w:vAlign w:val="center"/>
                </w:tcPr>
                <w:p>
                  <w:pPr>
                    <w:jc w:val="center"/>
                    <w:rPr>
                      <w:color w:val="auto"/>
                      <w:highlight w:val="yellow"/>
                      <w:lang w:bidi="ar-BH"/>
                    </w:rPr>
                  </w:pPr>
                  <w:r>
                    <w:rPr>
                      <w:rFonts w:hint="eastAsia"/>
                      <w:color w:val="auto"/>
                    </w:rPr>
                    <w:t>环境影响报告书</w:t>
                  </w:r>
                </w:p>
              </w:tc>
              <w:tc>
                <w:tcPr>
                  <w:tcW w:w="1275" w:type="dxa"/>
                  <w:vAlign w:val="center"/>
                </w:tcPr>
                <w:p>
                  <w:pPr>
                    <w:jc w:val="center"/>
                    <w:rPr>
                      <w:color w:val="auto"/>
                      <w:lang w:bidi="ar-BH"/>
                    </w:rPr>
                  </w:pPr>
                  <w:r>
                    <w:rPr>
                      <w:rFonts w:hint="eastAsia"/>
                      <w:color w:val="auto"/>
                      <w:lang w:bidi="ar-BH"/>
                    </w:rPr>
                    <w:t>煤炭科学研究总院西安分院</w:t>
                  </w:r>
                </w:p>
              </w:tc>
              <w:tc>
                <w:tcPr>
                  <w:tcW w:w="1624" w:type="dxa"/>
                  <w:vAlign w:val="center"/>
                </w:tcPr>
                <w:p>
                  <w:pPr>
                    <w:jc w:val="center"/>
                    <w:rPr>
                      <w:color w:val="auto"/>
                      <w:lang w:bidi="ar-BH"/>
                    </w:rPr>
                  </w:pPr>
                  <w:r>
                    <w:rPr>
                      <w:rFonts w:hint="eastAsia"/>
                      <w:color w:val="auto"/>
                      <w:lang w:bidi="ar-BH"/>
                    </w:rPr>
                    <w:t>陕环函[200</w:t>
                  </w:r>
                  <w:r>
                    <w:rPr>
                      <w:color w:val="auto"/>
                      <w:lang w:bidi="ar-BH"/>
                    </w:rPr>
                    <w:t>3</w:t>
                  </w:r>
                  <w:r>
                    <w:rPr>
                      <w:rFonts w:hint="eastAsia"/>
                      <w:color w:val="auto"/>
                      <w:lang w:bidi="ar-BH"/>
                    </w:rPr>
                    <w:t>]</w:t>
                  </w:r>
                  <w:r>
                    <w:rPr>
                      <w:color w:val="auto"/>
                      <w:lang w:bidi="ar-BH"/>
                    </w:rPr>
                    <w:t>345</w:t>
                  </w:r>
                  <w:r>
                    <w:rPr>
                      <w:rFonts w:hint="eastAsia"/>
                      <w:color w:val="auto"/>
                      <w:lang w:bidi="ar-BH"/>
                    </w:rPr>
                    <w:t>号</w:t>
                  </w:r>
                </w:p>
              </w:tc>
              <w:tc>
                <w:tcPr>
                  <w:tcW w:w="1749" w:type="dxa"/>
                  <w:vMerge w:val="restart"/>
                  <w:vAlign w:val="center"/>
                </w:tcPr>
                <w:p>
                  <w:pPr>
                    <w:jc w:val="center"/>
                    <w:rPr>
                      <w:color w:val="auto"/>
                      <w:lang w:bidi="ar-BH"/>
                    </w:rPr>
                  </w:pPr>
                  <w:r>
                    <w:rPr>
                      <w:rFonts w:hint="eastAsia"/>
                      <w:color w:val="auto"/>
                      <w:lang w:bidi="ar-BH"/>
                    </w:rPr>
                    <w:t>陕环批复[201</w:t>
                  </w:r>
                  <w:r>
                    <w:rPr>
                      <w:color w:val="auto"/>
                      <w:lang w:bidi="ar-BH"/>
                    </w:rPr>
                    <w:t>5</w:t>
                  </w:r>
                  <w:r>
                    <w:rPr>
                      <w:rFonts w:hint="eastAsia"/>
                      <w:color w:val="auto"/>
                      <w:lang w:bidi="ar-BH"/>
                    </w:rPr>
                    <w:t>]</w:t>
                  </w:r>
                  <w:r>
                    <w:rPr>
                      <w:color w:val="auto"/>
                      <w:lang w:bidi="ar-BH"/>
                    </w:rPr>
                    <w:t>758</w:t>
                  </w:r>
                  <w:r>
                    <w:rPr>
                      <w:rFonts w:hint="eastAsia"/>
                      <w:color w:val="auto"/>
                      <w:lang w:bidi="ar-BH"/>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607" w:type="dxa"/>
                  <w:vMerge w:val="continue"/>
                  <w:vAlign w:val="center"/>
                </w:tcPr>
                <w:p>
                  <w:pPr>
                    <w:jc w:val="center"/>
                    <w:rPr>
                      <w:rFonts w:hAnsi="宋体"/>
                      <w:color w:val="auto"/>
                      <w:lang w:bidi="ar-BH"/>
                    </w:rPr>
                  </w:pPr>
                </w:p>
              </w:tc>
              <w:tc>
                <w:tcPr>
                  <w:tcW w:w="2509" w:type="dxa"/>
                  <w:vAlign w:val="center"/>
                </w:tcPr>
                <w:p>
                  <w:pPr>
                    <w:jc w:val="center"/>
                    <w:rPr>
                      <w:color w:val="auto"/>
                      <w:lang w:bidi="ar-BH"/>
                    </w:rPr>
                  </w:pPr>
                  <w:r>
                    <w:rPr>
                      <w:rFonts w:hint="eastAsia"/>
                      <w:color w:val="auto"/>
                      <w:lang w:bidi="ar-BH"/>
                    </w:rPr>
                    <w:t>陕西龙门钢铁（集团）有限责任公司综合利用热电项目</w:t>
                  </w:r>
                </w:p>
              </w:tc>
              <w:tc>
                <w:tcPr>
                  <w:tcW w:w="1277" w:type="dxa"/>
                  <w:vAlign w:val="center"/>
                </w:tcPr>
                <w:p>
                  <w:pPr>
                    <w:jc w:val="center"/>
                    <w:rPr>
                      <w:color w:val="auto"/>
                    </w:rPr>
                  </w:pPr>
                  <w:r>
                    <w:rPr>
                      <w:rFonts w:hint="eastAsia"/>
                      <w:color w:val="auto"/>
                      <w:lang w:bidi="ar-BH"/>
                    </w:rPr>
                    <w:t>环境影响评价</w:t>
                  </w:r>
                  <w:r>
                    <w:rPr>
                      <w:rFonts w:hint="eastAsia"/>
                      <w:color w:val="auto"/>
                    </w:rPr>
                    <w:t>补充说明</w:t>
                  </w:r>
                </w:p>
              </w:tc>
              <w:tc>
                <w:tcPr>
                  <w:tcW w:w="1275" w:type="dxa"/>
                  <w:vAlign w:val="center"/>
                </w:tcPr>
                <w:p>
                  <w:pPr>
                    <w:jc w:val="center"/>
                    <w:rPr>
                      <w:color w:val="auto"/>
                      <w:lang w:bidi="ar-BH"/>
                    </w:rPr>
                  </w:pPr>
                  <w:r>
                    <w:rPr>
                      <w:rFonts w:hint="eastAsia"/>
                      <w:color w:val="auto"/>
                      <w:lang w:bidi="ar-BH"/>
                    </w:rPr>
                    <w:t>煤炭科学研究总院西安分院</w:t>
                  </w:r>
                </w:p>
              </w:tc>
              <w:tc>
                <w:tcPr>
                  <w:tcW w:w="1624" w:type="dxa"/>
                  <w:vAlign w:val="center"/>
                </w:tcPr>
                <w:p>
                  <w:pPr>
                    <w:jc w:val="center"/>
                    <w:rPr>
                      <w:color w:val="auto"/>
                      <w:lang w:bidi="ar-BH"/>
                    </w:rPr>
                  </w:pPr>
                  <w:r>
                    <w:rPr>
                      <w:rFonts w:hint="eastAsia"/>
                      <w:color w:val="auto"/>
                      <w:lang w:bidi="ar-BH"/>
                    </w:rPr>
                    <w:t>变更环评批复：陕环函[200</w:t>
                  </w:r>
                  <w:r>
                    <w:rPr>
                      <w:color w:val="auto"/>
                      <w:lang w:bidi="ar-BH"/>
                    </w:rPr>
                    <w:t>5</w:t>
                  </w:r>
                  <w:r>
                    <w:rPr>
                      <w:rFonts w:hint="eastAsia"/>
                      <w:color w:val="auto"/>
                      <w:lang w:bidi="ar-BH"/>
                    </w:rPr>
                    <w:t>]</w:t>
                  </w:r>
                  <w:r>
                    <w:rPr>
                      <w:color w:val="auto"/>
                      <w:lang w:bidi="ar-BH"/>
                    </w:rPr>
                    <w:t>106</w:t>
                  </w:r>
                  <w:r>
                    <w:rPr>
                      <w:rFonts w:hint="eastAsia"/>
                      <w:color w:val="auto"/>
                      <w:lang w:bidi="ar-BH"/>
                    </w:rPr>
                    <w:t>号</w:t>
                  </w:r>
                </w:p>
              </w:tc>
              <w:tc>
                <w:tcPr>
                  <w:tcW w:w="1749" w:type="dxa"/>
                  <w:vMerge w:val="continue"/>
                  <w:vAlign w:val="center"/>
                </w:tcPr>
                <w:p>
                  <w:pPr>
                    <w:jc w:val="center"/>
                    <w:rPr>
                      <w:color w:val="auto"/>
                      <w:lang w:bidi="ar-BH"/>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32" w:hRule="atLeast"/>
              </w:trPr>
              <w:tc>
                <w:tcPr>
                  <w:tcW w:w="607" w:type="dxa"/>
                  <w:vAlign w:val="center"/>
                </w:tcPr>
                <w:p>
                  <w:pPr>
                    <w:jc w:val="center"/>
                    <w:rPr>
                      <w:color w:val="auto"/>
                      <w:lang w:bidi="ar-BH"/>
                    </w:rPr>
                  </w:pPr>
                  <w:r>
                    <w:rPr>
                      <w:rFonts w:hint="eastAsia"/>
                      <w:color w:val="auto"/>
                      <w:lang w:bidi="ar-BH"/>
                    </w:rPr>
                    <w:t>2</w:t>
                  </w:r>
                </w:p>
              </w:tc>
              <w:tc>
                <w:tcPr>
                  <w:tcW w:w="2509" w:type="dxa"/>
                  <w:vAlign w:val="center"/>
                </w:tcPr>
                <w:p>
                  <w:pPr>
                    <w:jc w:val="center"/>
                    <w:rPr>
                      <w:color w:val="auto"/>
                    </w:rPr>
                  </w:pPr>
                  <w:r>
                    <w:rPr>
                      <w:rFonts w:hint="eastAsia"/>
                      <w:color w:val="auto"/>
                      <w:lang w:bidi="ar-BH"/>
                    </w:rPr>
                    <w:t>陕西龙门钢铁（集团）有限责任公司资源综合利用发电二期工程</w:t>
                  </w:r>
                </w:p>
              </w:tc>
              <w:tc>
                <w:tcPr>
                  <w:tcW w:w="1277" w:type="dxa"/>
                  <w:vAlign w:val="center"/>
                </w:tcPr>
                <w:p>
                  <w:pPr>
                    <w:jc w:val="center"/>
                    <w:rPr>
                      <w:color w:val="auto"/>
                      <w:highlight w:val="yellow"/>
                      <w:lang w:bidi="ar-BH"/>
                    </w:rPr>
                  </w:pPr>
                  <w:r>
                    <w:rPr>
                      <w:rFonts w:hint="eastAsia"/>
                      <w:color w:val="auto"/>
                    </w:rPr>
                    <w:t>环境影响报告表</w:t>
                  </w:r>
                </w:p>
              </w:tc>
              <w:tc>
                <w:tcPr>
                  <w:tcW w:w="1275" w:type="dxa"/>
                  <w:vAlign w:val="center"/>
                </w:tcPr>
                <w:p>
                  <w:pPr>
                    <w:jc w:val="center"/>
                    <w:rPr>
                      <w:rFonts w:ascii="仿宋_GB2312" w:hAnsi="Calibri" w:eastAsia="仿宋_GB2312" w:cs="宋体"/>
                      <w:color w:val="auto"/>
                    </w:rPr>
                  </w:pPr>
                  <w:r>
                    <w:rPr>
                      <w:rFonts w:hint="eastAsia"/>
                      <w:color w:val="auto"/>
                      <w:lang w:bidi="ar-BH"/>
                    </w:rPr>
                    <w:t>煤炭科学研究总院西安分院</w:t>
                  </w:r>
                </w:p>
              </w:tc>
              <w:tc>
                <w:tcPr>
                  <w:tcW w:w="1624" w:type="dxa"/>
                  <w:vAlign w:val="center"/>
                </w:tcPr>
                <w:p>
                  <w:pPr>
                    <w:jc w:val="center"/>
                    <w:rPr>
                      <w:color w:val="auto"/>
                    </w:rPr>
                  </w:pPr>
                  <w:r>
                    <w:rPr>
                      <w:rFonts w:hint="eastAsia"/>
                      <w:color w:val="auto"/>
                    </w:rPr>
                    <w:t>陕环批复[200</w:t>
                  </w:r>
                  <w:r>
                    <w:rPr>
                      <w:color w:val="auto"/>
                    </w:rPr>
                    <w:t>6</w:t>
                  </w:r>
                  <w:r>
                    <w:rPr>
                      <w:rFonts w:hint="eastAsia"/>
                      <w:color w:val="auto"/>
                    </w:rPr>
                    <w:t>]</w:t>
                  </w:r>
                  <w:r>
                    <w:rPr>
                      <w:color w:val="auto"/>
                    </w:rPr>
                    <w:t>85</w:t>
                  </w:r>
                  <w:r>
                    <w:rPr>
                      <w:rFonts w:hint="eastAsia"/>
                      <w:color w:val="auto"/>
                    </w:rPr>
                    <w:t>号</w:t>
                  </w:r>
                </w:p>
              </w:tc>
              <w:tc>
                <w:tcPr>
                  <w:tcW w:w="1749" w:type="dxa"/>
                  <w:vAlign w:val="center"/>
                </w:tcPr>
                <w:p>
                  <w:pPr>
                    <w:jc w:val="center"/>
                    <w:rPr>
                      <w:color w:val="auto"/>
                    </w:rPr>
                  </w:pPr>
                  <w:r>
                    <w:rPr>
                      <w:rFonts w:hint="eastAsia"/>
                      <w:color w:val="auto"/>
                    </w:rPr>
                    <w:t>陕环批复</w:t>
                  </w:r>
                </w:p>
                <w:p>
                  <w:pPr>
                    <w:jc w:val="center"/>
                    <w:rPr>
                      <w:color w:val="auto"/>
                    </w:rPr>
                  </w:pPr>
                  <w:r>
                    <w:rPr>
                      <w:rFonts w:hint="eastAsia"/>
                      <w:color w:val="auto"/>
                    </w:rPr>
                    <w:t>[201</w:t>
                  </w:r>
                  <w:r>
                    <w:rPr>
                      <w:color w:val="auto"/>
                    </w:rPr>
                    <w:t>5</w:t>
                  </w:r>
                  <w:r>
                    <w:rPr>
                      <w:rFonts w:hint="eastAsia"/>
                      <w:color w:val="auto"/>
                    </w:rPr>
                    <w:t>]</w:t>
                  </w:r>
                  <w:r>
                    <w:rPr>
                      <w:color w:val="auto"/>
                    </w:rPr>
                    <w:t>754</w:t>
                  </w:r>
                  <w:r>
                    <w:rPr>
                      <w:rFonts w:hint="eastAsia"/>
                      <w:color w:val="auto"/>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32" w:hRule="atLeast"/>
              </w:trPr>
              <w:tc>
                <w:tcPr>
                  <w:tcW w:w="607" w:type="dxa"/>
                  <w:vMerge w:val="restart"/>
                  <w:vAlign w:val="center"/>
                </w:tcPr>
                <w:p>
                  <w:pPr>
                    <w:jc w:val="center"/>
                    <w:rPr>
                      <w:color w:val="auto"/>
                      <w:lang w:bidi="ar-BH"/>
                    </w:rPr>
                  </w:pPr>
                  <w:r>
                    <w:rPr>
                      <w:rFonts w:hint="eastAsia"/>
                      <w:color w:val="auto"/>
                      <w:lang w:bidi="ar-BH"/>
                    </w:rPr>
                    <w:t>3</w:t>
                  </w:r>
                </w:p>
              </w:tc>
              <w:tc>
                <w:tcPr>
                  <w:tcW w:w="2509" w:type="dxa"/>
                  <w:vMerge w:val="restart"/>
                  <w:vAlign w:val="center"/>
                </w:tcPr>
                <w:p>
                  <w:pPr>
                    <w:jc w:val="center"/>
                    <w:rPr>
                      <w:color w:val="auto"/>
                    </w:rPr>
                  </w:pPr>
                  <w:r>
                    <w:rPr>
                      <w:rFonts w:hint="eastAsia"/>
                      <w:color w:val="auto"/>
                      <w:lang w:bidi="ar-BH"/>
                    </w:rPr>
                    <w:t>陕西龙门钢铁（集团）有限责任公司煤气综合利用自备电厂三期技改建设项目</w:t>
                  </w:r>
                </w:p>
              </w:tc>
              <w:tc>
                <w:tcPr>
                  <w:tcW w:w="1277" w:type="dxa"/>
                  <w:vMerge w:val="restart"/>
                  <w:vAlign w:val="center"/>
                </w:tcPr>
                <w:p>
                  <w:pPr>
                    <w:jc w:val="center"/>
                    <w:rPr>
                      <w:color w:val="auto"/>
                    </w:rPr>
                  </w:pPr>
                  <w:r>
                    <w:rPr>
                      <w:rFonts w:hint="eastAsia"/>
                      <w:color w:val="auto"/>
                    </w:rPr>
                    <w:t>环境影响报告表</w:t>
                  </w:r>
                </w:p>
              </w:tc>
              <w:tc>
                <w:tcPr>
                  <w:tcW w:w="1275" w:type="dxa"/>
                  <w:vMerge w:val="restart"/>
                  <w:vAlign w:val="center"/>
                </w:tcPr>
                <w:p>
                  <w:pPr>
                    <w:jc w:val="center"/>
                    <w:rPr>
                      <w:rFonts w:ascii="Calibri" w:hAnsi="Calibri" w:cs="宋体"/>
                      <w:color w:val="auto"/>
                    </w:rPr>
                  </w:pPr>
                  <w:r>
                    <w:rPr>
                      <w:rFonts w:hint="eastAsia" w:ascii="Calibri" w:hAnsi="Calibri" w:cs="宋体"/>
                      <w:color w:val="auto"/>
                    </w:rPr>
                    <w:t>西安建筑科技大学</w:t>
                  </w:r>
                </w:p>
              </w:tc>
              <w:tc>
                <w:tcPr>
                  <w:tcW w:w="1624" w:type="dxa"/>
                  <w:vAlign w:val="center"/>
                </w:tcPr>
                <w:p>
                  <w:pPr>
                    <w:jc w:val="center"/>
                    <w:rPr>
                      <w:color w:val="auto"/>
                    </w:rPr>
                  </w:pPr>
                  <w:r>
                    <w:rPr>
                      <w:rFonts w:hint="eastAsia"/>
                      <w:color w:val="auto"/>
                    </w:rPr>
                    <w:t>陕环批复[20</w:t>
                  </w:r>
                  <w:r>
                    <w:rPr>
                      <w:color w:val="auto"/>
                    </w:rPr>
                    <w:t>09</w:t>
                  </w:r>
                  <w:r>
                    <w:rPr>
                      <w:rFonts w:hint="eastAsia"/>
                      <w:color w:val="auto"/>
                    </w:rPr>
                    <w:t>]</w:t>
                  </w:r>
                  <w:r>
                    <w:rPr>
                      <w:color w:val="auto"/>
                    </w:rPr>
                    <w:t>538</w:t>
                  </w:r>
                  <w:r>
                    <w:rPr>
                      <w:rFonts w:hint="eastAsia"/>
                      <w:color w:val="auto"/>
                    </w:rPr>
                    <w:t>号</w:t>
                  </w:r>
                </w:p>
              </w:tc>
              <w:tc>
                <w:tcPr>
                  <w:tcW w:w="1749" w:type="dxa"/>
                  <w:vMerge w:val="restart"/>
                  <w:vAlign w:val="center"/>
                </w:tcPr>
                <w:p>
                  <w:pPr>
                    <w:jc w:val="center"/>
                    <w:rPr>
                      <w:color w:val="auto"/>
                    </w:rPr>
                  </w:pPr>
                  <w:r>
                    <w:rPr>
                      <w:rFonts w:hint="eastAsia"/>
                      <w:color w:val="auto"/>
                    </w:rPr>
                    <w:t>陕环批复</w:t>
                  </w:r>
                </w:p>
                <w:p>
                  <w:pPr>
                    <w:jc w:val="center"/>
                    <w:rPr>
                      <w:color w:val="auto"/>
                    </w:rPr>
                  </w:pPr>
                  <w:r>
                    <w:rPr>
                      <w:rFonts w:hint="eastAsia"/>
                      <w:color w:val="auto"/>
                    </w:rPr>
                    <w:t>[201</w:t>
                  </w:r>
                  <w:r>
                    <w:rPr>
                      <w:color w:val="auto"/>
                    </w:rPr>
                    <w:t>5</w:t>
                  </w:r>
                  <w:r>
                    <w:rPr>
                      <w:rFonts w:hint="eastAsia"/>
                      <w:color w:val="auto"/>
                    </w:rPr>
                    <w:t>]</w:t>
                  </w:r>
                  <w:r>
                    <w:rPr>
                      <w:color w:val="auto"/>
                    </w:rPr>
                    <w:t>759</w:t>
                  </w:r>
                  <w:r>
                    <w:rPr>
                      <w:rFonts w:hint="eastAsia"/>
                      <w:color w:val="auto"/>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32" w:hRule="atLeast"/>
              </w:trPr>
              <w:tc>
                <w:tcPr>
                  <w:tcW w:w="607" w:type="dxa"/>
                  <w:vMerge w:val="continue"/>
                  <w:vAlign w:val="center"/>
                </w:tcPr>
                <w:p>
                  <w:pPr>
                    <w:jc w:val="center"/>
                    <w:rPr>
                      <w:color w:val="auto"/>
                      <w:lang w:bidi="ar-BH"/>
                    </w:rPr>
                  </w:pPr>
                </w:p>
              </w:tc>
              <w:tc>
                <w:tcPr>
                  <w:tcW w:w="2509" w:type="dxa"/>
                  <w:vMerge w:val="continue"/>
                  <w:vAlign w:val="center"/>
                </w:tcPr>
                <w:p>
                  <w:pPr>
                    <w:jc w:val="center"/>
                    <w:rPr>
                      <w:color w:val="auto"/>
                      <w:lang w:bidi="ar-BH"/>
                    </w:rPr>
                  </w:pPr>
                </w:p>
              </w:tc>
              <w:tc>
                <w:tcPr>
                  <w:tcW w:w="1277" w:type="dxa"/>
                  <w:vMerge w:val="continue"/>
                  <w:vAlign w:val="center"/>
                </w:tcPr>
                <w:p>
                  <w:pPr>
                    <w:jc w:val="center"/>
                    <w:rPr>
                      <w:color w:val="auto"/>
                    </w:rPr>
                  </w:pPr>
                </w:p>
              </w:tc>
              <w:tc>
                <w:tcPr>
                  <w:tcW w:w="1275" w:type="dxa"/>
                  <w:vMerge w:val="continue"/>
                  <w:vAlign w:val="center"/>
                </w:tcPr>
                <w:p>
                  <w:pPr>
                    <w:jc w:val="center"/>
                    <w:rPr>
                      <w:rFonts w:ascii="Calibri" w:hAnsi="Calibri" w:cs="宋体"/>
                      <w:color w:val="auto"/>
                    </w:rPr>
                  </w:pPr>
                </w:p>
              </w:tc>
              <w:tc>
                <w:tcPr>
                  <w:tcW w:w="1624" w:type="dxa"/>
                  <w:vAlign w:val="center"/>
                </w:tcPr>
                <w:p>
                  <w:pPr>
                    <w:jc w:val="center"/>
                    <w:rPr>
                      <w:color w:val="auto"/>
                    </w:rPr>
                  </w:pPr>
                  <w:r>
                    <w:rPr>
                      <w:rFonts w:hint="eastAsia"/>
                      <w:color w:val="auto"/>
                    </w:rPr>
                    <w:t>变更环评批复：陕环函[20</w:t>
                  </w:r>
                  <w:r>
                    <w:rPr>
                      <w:color w:val="auto"/>
                    </w:rPr>
                    <w:t>11</w:t>
                  </w:r>
                  <w:r>
                    <w:rPr>
                      <w:rFonts w:hint="eastAsia"/>
                      <w:color w:val="auto"/>
                    </w:rPr>
                    <w:t>]</w:t>
                  </w:r>
                  <w:r>
                    <w:rPr>
                      <w:color w:val="auto"/>
                    </w:rPr>
                    <w:t>31</w:t>
                  </w:r>
                  <w:r>
                    <w:rPr>
                      <w:rFonts w:hint="eastAsia"/>
                      <w:color w:val="auto"/>
                    </w:rPr>
                    <w:t>号</w:t>
                  </w:r>
                </w:p>
              </w:tc>
              <w:tc>
                <w:tcPr>
                  <w:tcW w:w="1749" w:type="dxa"/>
                  <w:vMerge w:val="continue"/>
                  <w:vAlign w:val="center"/>
                </w:tcPr>
                <w:p>
                  <w:pPr>
                    <w:jc w:val="center"/>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32" w:hRule="atLeast"/>
              </w:trPr>
              <w:tc>
                <w:tcPr>
                  <w:tcW w:w="607" w:type="dxa"/>
                  <w:vAlign w:val="center"/>
                </w:tcPr>
                <w:p>
                  <w:pPr>
                    <w:jc w:val="center"/>
                    <w:rPr>
                      <w:color w:val="auto"/>
                      <w:lang w:bidi="ar-BH"/>
                    </w:rPr>
                  </w:pPr>
                  <w:r>
                    <w:rPr>
                      <w:rFonts w:hint="eastAsia"/>
                      <w:color w:val="auto"/>
                      <w:lang w:bidi="ar-BH"/>
                    </w:rPr>
                    <w:t>4</w:t>
                  </w:r>
                </w:p>
              </w:tc>
              <w:tc>
                <w:tcPr>
                  <w:tcW w:w="2509" w:type="dxa"/>
                  <w:vAlign w:val="center"/>
                </w:tcPr>
                <w:p>
                  <w:pPr>
                    <w:jc w:val="center"/>
                    <w:rPr>
                      <w:bCs/>
                      <w:color w:val="auto"/>
                    </w:rPr>
                  </w:pPr>
                  <w:r>
                    <w:rPr>
                      <w:rFonts w:hint="eastAsia" w:hAnsi="宋体"/>
                      <w:bCs/>
                      <w:color w:val="auto"/>
                    </w:rPr>
                    <w:t>1×</w:t>
                  </w:r>
                  <w:r>
                    <w:rPr>
                      <w:rFonts w:hAnsi="宋体"/>
                      <w:bCs/>
                      <w:color w:val="auto"/>
                    </w:rPr>
                    <w:t>170T/</w:t>
                  </w:r>
                  <w:r>
                    <w:rPr>
                      <w:rFonts w:hint="eastAsia" w:hAnsi="宋体"/>
                      <w:bCs/>
                      <w:color w:val="auto"/>
                    </w:rPr>
                    <w:t>h锅炉建设项目</w:t>
                  </w:r>
                </w:p>
              </w:tc>
              <w:tc>
                <w:tcPr>
                  <w:tcW w:w="1277" w:type="dxa"/>
                  <w:vAlign w:val="center"/>
                </w:tcPr>
                <w:p>
                  <w:pPr>
                    <w:jc w:val="center"/>
                    <w:rPr>
                      <w:color w:val="auto"/>
                    </w:rPr>
                  </w:pPr>
                  <w:r>
                    <w:rPr>
                      <w:rFonts w:hint="eastAsia"/>
                      <w:color w:val="auto"/>
                    </w:rPr>
                    <w:t>环境影响登记表</w:t>
                  </w:r>
                </w:p>
              </w:tc>
              <w:tc>
                <w:tcPr>
                  <w:tcW w:w="1275" w:type="dxa"/>
                  <w:vAlign w:val="center"/>
                </w:tcPr>
                <w:p>
                  <w:pPr>
                    <w:jc w:val="center"/>
                    <w:rPr>
                      <w:rFonts w:ascii="Calibri" w:hAnsi="Calibri" w:cs="宋体"/>
                      <w:color w:val="auto"/>
                    </w:rPr>
                  </w:pPr>
                  <w:r>
                    <w:rPr>
                      <w:rFonts w:hint="eastAsia"/>
                      <w:color w:val="auto"/>
                    </w:rPr>
                    <w:t>/</w:t>
                  </w:r>
                </w:p>
              </w:tc>
              <w:tc>
                <w:tcPr>
                  <w:tcW w:w="1624" w:type="dxa"/>
                  <w:vAlign w:val="center"/>
                </w:tcPr>
                <w:p>
                  <w:pPr>
                    <w:jc w:val="center"/>
                    <w:rPr>
                      <w:color w:val="auto"/>
                    </w:rPr>
                  </w:pPr>
                  <w:r>
                    <w:rPr>
                      <w:rFonts w:hint="eastAsia"/>
                      <w:color w:val="auto"/>
                    </w:rPr>
                    <w:t>韩城市环境保护局，2</w:t>
                  </w:r>
                  <w:r>
                    <w:rPr>
                      <w:color w:val="auto"/>
                    </w:rPr>
                    <w:t>008</w:t>
                  </w:r>
                  <w:r>
                    <w:rPr>
                      <w:rFonts w:hint="eastAsia"/>
                      <w:color w:val="auto"/>
                    </w:rPr>
                    <w:t>年6月3</w:t>
                  </w:r>
                  <w:r>
                    <w:rPr>
                      <w:color w:val="auto"/>
                    </w:rPr>
                    <w:t>0</w:t>
                  </w:r>
                  <w:r>
                    <w:rPr>
                      <w:rFonts w:hint="eastAsia"/>
                      <w:color w:val="auto"/>
                    </w:rPr>
                    <w:t>日</w:t>
                  </w:r>
                </w:p>
              </w:tc>
              <w:tc>
                <w:tcPr>
                  <w:tcW w:w="1749" w:type="dxa"/>
                  <w:vAlign w:val="center"/>
                </w:tcPr>
                <w:p>
                  <w:pPr>
                    <w:jc w:val="center"/>
                    <w:rPr>
                      <w:color w:val="auto"/>
                    </w:rPr>
                  </w:pPr>
                  <w:r>
                    <w:rPr>
                      <w:rFonts w:hint="eastAsia"/>
                      <w:color w:val="auto"/>
                    </w:rPr>
                    <w:t>韩环发</w:t>
                  </w:r>
                </w:p>
                <w:p>
                  <w:pPr>
                    <w:jc w:val="center"/>
                    <w:rPr>
                      <w:color w:val="auto"/>
                    </w:rPr>
                  </w:pPr>
                  <w:r>
                    <w:rPr>
                      <w:rFonts w:hint="eastAsia"/>
                      <w:color w:val="auto"/>
                    </w:rPr>
                    <w:t>[201</w:t>
                  </w:r>
                  <w:r>
                    <w:rPr>
                      <w:color w:val="auto"/>
                    </w:rPr>
                    <w:t>6</w:t>
                  </w:r>
                  <w:r>
                    <w:rPr>
                      <w:rFonts w:hint="eastAsia"/>
                      <w:color w:val="auto"/>
                    </w:rPr>
                    <w:t>]</w:t>
                  </w:r>
                  <w:r>
                    <w:rPr>
                      <w:color w:val="auto"/>
                    </w:rPr>
                    <w:t>28</w:t>
                  </w:r>
                  <w:r>
                    <w:rPr>
                      <w:rFonts w:hint="eastAsia"/>
                      <w:color w:val="auto"/>
                    </w:rPr>
                    <w:t>号</w:t>
                  </w:r>
                </w:p>
              </w:tc>
            </w:tr>
          </w:tbl>
          <w:p>
            <w:pPr>
              <w:spacing w:line="360" w:lineRule="auto"/>
              <w:ind w:firstLine="482" w:firstLineChars="200"/>
              <w:rPr>
                <w:b/>
                <w:color w:val="auto"/>
                <w:sz w:val="24"/>
                <w:szCs w:val="20"/>
              </w:rPr>
            </w:pPr>
            <w:r>
              <w:rPr>
                <w:rFonts w:hint="eastAsia"/>
                <w:b/>
                <w:color w:val="auto"/>
                <w:sz w:val="24"/>
                <w:szCs w:val="20"/>
              </w:rPr>
              <w:t>三、现有工程污染物产排情况</w:t>
            </w:r>
          </w:p>
          <w:p>
            <w:pPr>
              <w:spacing w:line="360" w:lineRule="auto"/>
              <w:ind w:firstLine="480" w:firstLineChars="200"/>
              <w:rPr>
                <w:color w:val="auto"/>
                <w:sz w:val="24"/>
                <w:szCs w:val="20"/>
              </w:rPr>
            </w:pPr>
            <w:r>
              <w:rPr>
                <w:rFonts w:hint="eastAsia"/>
                <w:color w:val="auto"/>
                <w:sz w:val="24"/>
                <w:szCs w:val="20"/>
              </w:rPr>
              <w:t>1、废气</w:t>
            </w:r>
          </w:p>
          <w:p>
            <w:pPr>
              <w:spacing w:line="360" w:lineRule="auto"/>
              <w:ind w:firstLine="480" w:firstLineChars="200"/>
              <w:rPr>
                <w:color w:val="auto"/>
                <w:sz w:val="24"/>
                <w:szCs w:val="20"/>
              </w:rPr>
            </w:pPr>
            <w:r>
              <w:rPr>
                <w:rFonts w:hint="eastAsia"/>
                <w:color w:val="auto"/>
                <w:sz w:val="24"/>
                <w:szCs w:val="20"/>
              </w:rPr>
              <w:t>现有工程废气主要为锅炉烟气，根据建设单位提供的资料及例行监测报告，现有工程废气及其污染物产排情况如下：</w:t>
            </w:r>
          </w:p>
          <w:p>
            <w:pPr>
              <w:spacing w:line="360" w:lineRule="auto"/>
              <w:ind w:firstLine="480" w:firstLineChars="200"/>
              <w:rPr>
                <w:color w:val="auto"/>
                <w:sz w:val="24"/>
                <w:szCs w:val="24"/>
              </w:rPr>
            </w:pPr>
            <w:r>
              <w:rPr>
                <w:rFonts w:hint="eastAsia"/>
                <w:color w:val="auto"/>
                <w:sz w:val="24"/>
                <w:szCs w:val="24"/>
              </w:rPr>
              <w:t>1#、2#炉烟气量为311192Nm</w:t>
            </w:r>
            <w:r>
              <w:rPr>
                <w:rFonts w:hint="eastAsia"/>
                <w:color w:val="auto"/>
                <w:sz w:val="24"/>
                <w:szCs w:val="24"/>
                <w:vertAlign w:val="superscript"/>
              </w:rPr>
              <w:t>3</w:t>
            </w:r>
            <w:r>
              <w:rPr>
                <w:rFonts w:hint="eastAsia"/>
                <w:color w:val="auto"/>
                <w:sz w:val="24"/>
                <w:szCs w:val="24"/>
              </w:rPr>
              <w:t>/h，烟气经高8</w:t>
            </w:r>
            <w:r>
              <w:rPr>
                <w:color w:val="auto"/>
                <w:sz w:val="24"/>
                <w:szCs w:val="24"/>
              </w:rPr>
              <w:t>0</w:t>
            </w:r>
            <w:r>
              <w:rPr>
                <w:rFonts w:hint="eastAsia"/>
                <w:color w:val="auto"/>
                <w:sz w:val="24"/>
                <w:szCs w:val="24"/>
              </w:rPr>
              <w:t>m烟囱排放，主要污染物颗粒物、SO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r>
              <w:rPr>
                <w:rFonts w:hint="eastAsia"/>
                <w:color w:val="auto"/>
                <w:sz w:val="24"/>
                <w:szCs w:val="24"/>
              </w:rPr>
              <w:t>的排放浓度分别为4.8mg/m</w:t>
            </w:r>
            <w:r>
              <w:rPr>
                <w:rFonts w:hint="eastAsia"/>
                <w:color w:val="auto"/>
                <w:sz w:val="24"/>
                <w:szCs w:val="24"/>
                <w:vertAlign w:val="superscript"/>
              </w:rPr>
              <w:t>3</w:t>
            </w:r>
            <w:r>
              <w:rPr>
                <w:rFonts w:hint="eastAsia"/>
                <w:color w:val="auto"/>
                <w:sz w:val="24"/>
                <w:szCs w:val="24"/>
              </w:rPr>
              <w:t>、80.5mg/m</w:t>
            </w:r>
            <w:r>
              <w:rPr>
                <w:rFonts w:hint="eastAsia"/>
                <w:color w:val="auto"/>
                <w:sz w:val="24"/>
                <w:szCs w:val="24"/>
                <w:vertAlign w:val="superscript"/>
              </w:rPr>
              <w:t>3</w:t>
            </w:r>
            <w:r>
              <w:rPr>
                <w:rFonts w:hint="eastAsia"/>
                <w:color w:val="auto"/>
                <w:sz w:val="24"/>
                <w:szCs w:val="24"/>
              </w:rPr>
              <w:t>和72.3mg/m</w:t>
            </w:r>
            <w:r>
              <w:rPr>
                <w:rFonts w:hint="eastAsia"/>
                <w:color w:val="auto"/>
                <w:sz w:val="24"/>
                <w:szCs w:val="24"/>
                <w:vertAlign w:val="superscript"/>
              </w:rPr>
              <w:t>3</w:t>
            </w:r>
            <w:r>
              <w:rPr>
                <w:rFonts w:hint="eastAsia"/>
                <w:color w:val="auto"/>
                <w:sz w:val="24"/>
                <w:szCs w:val="24"/>
              </w:rPr>
              <w:t>，排放量分别为1.49kg/h、25.05kg/h和22.50kg/h；</w:t>
            </w:r>
          </w:p>
          <w:p>
            <w:pPr>
              <w:spacing w:line="360" w:lineRule="auto"/>
              <w:ind w:firstLine="480" w:firstLineChars="200"/>
              <w:rPr>
                <w:color w:val="auto"/>
                <w:sz w:val="24"/>
                <w:szCs w:val="24"/>
              </w:rPr>
            </w:pPr>
            <w:r>
              <w:rPr>
                <w:rFonts w:hint="eastAsia"/>
                <w:color w:val="auto"/>
                <w:sz w:val="24"/>
                <w:szCs w:val="24"/>
              </w:rPr>
              <w:t>3#炉烟气量为232248Nm</w:t>
            </w:r>
            <w:r>
              <w:rPr>
                <w:rFonts w:hint="eastAsia"/>
                <w:color w:val="auto"/>
                <w:sz w:val="24"/>
                <w:szCs w:val="24"/>
                <w:vertAlign w:val="superscript"/>
              </w:rPr>
              <w:t>3</w:t>
            </w:r>
            <w:r>
              <w:rPr>
                <w:rFonts w:hint="eastAsia"/>
                <w:color w:val="auto"/>
                <w:sz w:val="24"/>
                <w:szCs w:val="24"/>
              </w:rPr>
              <w:t>/h，烟气经高8</w:t>
            </w:r>
            <w:r>
              <w:rPr>
                <w:color w:val="auto"/>
                <w:sz w:val="24"/>
                <w:szCs w:val="24"/>
              </w:rPr>
              <w:t>0</w:t>
            </w:r>
            <w:r>
              <w:rPr>
                <w:rFonts w:hint="eastAsia"/>
                <w:color w:val="auto"/>
                <w:sz w:val="24"/>
                <w:szCs w:val="24"/>
              </w:rPr>
              <w:t>m烟囱排放，主要污染物颗粒物、SO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r>
              <w:rPr>
                <w:rFonts w:hint="eastAsia"/>
                <w:color w:val="auto"/>
                <w:sz w:val="24"/>
                <w:szCs w:val="24"/>
              </w:rPr>
              <w:t>排放浓度分别为4.8mg/m</w:t>
            </w:r>
            <w:r>
              <w:rPr>
                <w:rFonts w:hint="eastAsia"/>
                <w:color w:val="auto"/>
                <w:sz w:val="24"/>
                <w:szCs w:val="24"/>
                <w:vertAlign w:val="superscript"/>
              </w:rPr>
              <w:t>3</w:t>
            </w:r>
            <w:r>
              <w:rPr>
                <w:rFonts w:hint="eastAsia"/>
                <w:color w:val="auto"/>
                <w:sz w:val="24"/>
                <w:szCs w:val="24"/>
              </w:rPr>
              <w:t>、91.9mg/m</w:t>
            </w:r>
            <w:r>
              <w:rPr>
                <w:rFonts w:hint="eastAsia"/>
                <w:color w:val="auto"/>
                <w:sz w:val="24"/>
                <w:szCs w:val="24"/>
                <w:vertAlign w:val="superscript"/>
              </w:rPr>
              <w:t>3</w:t>
            </w:r>
            <w:r>
              <w:rPr>
                <w:rFonts w:hint="eastAsia"/>
                <w:color w:val="auto"/>
                <w:sz w:val="24"/>
                <w:szCs w:val="24"/>
              </w:rPr>
              <w:t>和74.9mg/m</w:t>
            </w:r>
            <w:r>
              <w:rPr>
                <w:rFonts w:hint="eastAsia"/>
                <w:color w:val="auto"/>
                <w:sz w:val="24"/>
                <w:szCs w:val="24"/>
                <w:vertAlign w:val="superscript"/>
              </w:rPr>
              <w:t>3</w:t>
            </w:r>
            <w:r>
              <w:rPr>
                <w:rFonts w:hint="eastAsia"/>
                <w:color w:val="auto"/>
                <w:sz w:val="24"/>
                <w:szCs w:val="24"/>
              </w:rPr>
              <w:t>，排放量分别为1.11kg/h、21.35kg/h和17.40kg/h；</w:t>
            </w:r>
            <w:r>
              <w:rPr>
                <w:color w:val="auto"/>
                <w:sz w:val="24"/>
                <w:szCs w:val="24"/>
              </w:rPr>
              <w:t xml:space="preserve"> </w:t>
            </w:r>
          </w:p>
          <w:p>
            <w:pPr>
              <w:spacing w:line="360" w:lineRule="auto"/>
              <w:ind w:firstLine="480" w:firstLineChars="200"/>
              <w:rPr>
                <w:color w:val="auto"/>
                <w:sz w:val="24"/>
                <w:szCs w:val="24"/>
              </w:rPr>
            </w:pPr>
            <w:r>
              <w:rPr>
                <w:rFonts w:hint="eastAsia"/>
                <w:color w:val="auto"/>
                <w:sz w:val="24"/>
                <w:szCs w:val="24"/>
              </w:rPr>
              <w:t>4#、5#炉烟气量为637390Nm</w:t>
            </w:r>
            <w:r>
              <w:rPr>
                <w:rFonts w:hint="eastAsia"/>
                <w:color w:val="auto"/>
                <w:sz w:val="24"/>
                <w:szCs w:val="24"/>
                <w:vertAlign w:val="superscript"/>
              </w:rPr>
              <w:t>3</w:t>
            </w:r>
            <w:r>
              <w:rPr>
                <w:rFonts w:hint="eastAsia"/>
                <w:color w:val="auto"/>
                <w:sz w:val="24"/>
                <w:szCs w:val="24"/>
              </w:rPr>
              <w:t>/h，烟气经高8</w:t>
            </w:r>
            <w:r>
              <w:rPr>
                <w:color w:val="auto"/>
                <w:sz w:val="24"/>
                <w:szCs w:val="24"/>
              </w:rPr>
              <w:t>0</w:t>
            </w:r>
            <w:r>
              <w:rPr>
                <w:rFonts w:hint="eastAsia"/>
                <w:color w:val="auto"/>
                <w:sz w:val="24"/>
                <w:szCs w:val="24"/>
              </w:rPr>
              <w:t>m烟囱排放，主要污染物颗粒物、SO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r>
              <w:rPr>
                <w:rFonts w:hint="eastAsia"/>
                <w:color w:val="auto"/>
                <w:sz w:val="24"/>
                <w:szCs w:val="24"/>
              </w:rPr>
              <w:t>排放浓度分别为4.9mg/m</w:t>
            </w:r>
            <w:r>
              <w:rPr>
                <w:rFonts w:hint="eastAsia"/>
                <w:color w:val="auto"/>
                <w:sz w:val="24"/>
                <w:szCs w:val="24"/>
                <w:vertAlign w:val="superscript"/>
              </w:rPr>
              <w:t>3</w:t>
            </w:r>
            <w:r>
              <w:rPr>
                <w:rFonts w:hint="eastAsia"/>
                <w:color w:val="auto"/>
                <w:sz w:val="24"/>
                <w:szCs w:val="24"/>
              </w:rPr>
              <w:t>、94.5mg/m</w:t>
            </w:r>
            <w:r>
              <w:rPr>
                <w:rFonts w:hint="eastAsia"/>
                <w:color w:val="auto"/>
                <w:sz w:val="24"/>
                <w:szCs w:val="24"/>
                <w:vertAlign w:val="superscript"/>
              </w:rPr>
              <w:t>3</w:t>
            </w:r>
            <w:r>
              <w:rPr>
                <w:rFonts w:hint="eastAsia"/>
                <w:color w:val="auto"/>
                <w:sz w:val="24"/>
                <w:szCs w:val="24"/>
              </w:rPr>
              <w:t>和79.8mg/m</w:t>
            </w:r>
            <w:r>
              <w:rPr>
                <w:rFonts w:hint="eastAsia"/>
                <w:color w:val="auto"/>
                <w:sz w:val="24"/>
                <w:szCs w:val="24"/>
                <w:vertAlign w:val="superscript"/>
              </w:rPr>
              <w:t>3</w:t>
            </w:r>
            <w:r>
              <w:rPr>
                <w:rFonts w:hint="eastAsia"/>
                <w:color w:val="auto"/>
                <w:sz w:val="24"/>
                <w:szCs w:val="24"/>
              </w:rPr>
              <w:t>，排放量分别为3.12kg/h、60.25kg/h和50.86kg/h；</w:t>
            </w:r>
            <w:r>
              <w:rPr>
                <w:color w:val="auto"/>
                <w:sz w:val="24"/>
                <w:szCs w:val="24"/>
              </w:rPr>
              <w:t xml:space="preserve"> </w:t>
            </w:r>
          </w:p>
          <w:p>
            <w:pPr>
              <w:spacing w:line="360" w:lineRule="auto"/>
              <w:ind w:firstLine="480" w:firstLineChars="200"/>
              <w:rPr>
                <w:color w:val="auto"/>
                <w:sz w:val="24"/>
                <w:szCs w:val="20"/>
              </w:rPr>
            </w:pPr>
            <w:r>
              <w:rPr>
                <w:color w:val="auto"/>
                <w:sz w:val="24"/>
                <w:szCs w:val="20"/>
              </w:rPr>
              <w:t>2</w:t>
            </w:r>
            <w:r>
              <w:rPr>
                <w:rFonts w:hint="eastAsia"/>
                <w:color w:val="auto"/>
                <w:sz w:val="24"/>
                <w:szCs w:val="20"/>
              </w:rPr>
              <w:t>、废水</w:t>
            </w:r>
          </w:p>
          <w:p>
            <w:pPr>
              <w:spacing w:line="360" w:lineRule="auto"/>
              <w:ind w:firstLine="480" w:firstLineChars="200"/>
              <w:rPr>
                <w:color w:val="auto"/>
                <w:sz w:val="24"/>
                <w:szCs w:val="20"/>
              </w:rPr>
            </w:pPr>
            <w:r>
              <w:rPr>
                <w:rFonts w:hint="eastAsia"/>
                <w:color w:val="auto"/>
                <w:sz w:val="24"/>
                <w:szCs w:val="20"/>
              </w:rPr>
              <w:t>现有工程废水主要包括锅炉排污水、冷却循环系统排污水、化学水制备车间排污水以及生活污水等，排入陕西龙门钢铁（集团）有限责任公司污水处理站处理后综合利用，不外排。</w:t>
            </w:r>
          </w:p>
          <w:p>
            <w:pPr>
              <w:spacing w:line="360" w:lineRule="auto"/>
              <w:ind w:firstLine="480" w:firstLineChars="200"/>
              <w:rPr>
                <w:color w:val="auto"/>
                <w:sz w:val="24"/>
                <w:szCs w:val="20"/>
              </w:rPr>
            </w:pPr>
          </w:p>
          <w:p>
            <w:pPr>
              <w:spacing w:line="360" w:lineRule="auto"/>
              <w:ind w:firstLine="480" w:firstLineChars="200"/>
              <w:rPr>
                <w:color w:val="auto"/>
                <w:sz w:val="24"/>
                <w:szCs w:val="20"/>
              </w:rPr>
            </w:pPr>
            <w:r>
              <w:rPr>
                <w:rFonts w:hint="eastAsia"/>
                <w:color w:val="auto"/>
                <w:sz w:val="24"/>
                <w:szCs w:val="20"/>
              </w:rPr>
              <w:t>3、固体废物</w:t>
            </w:r>
          </w:p>
          <w:p>
            <w:pPr>
              <w:spacing w:line="360" w:lineRule="auto"/>
              <w:ind w:firstLine="480" w:firstLineChars="200"/>
              <w:rPr>
                <w:color w:val="auto"/>
                <w:sz w:val="24"/>
                <w:szCs w:val="20"/>
              </w:rPr>
            </w:pPr>
            <w:r>
              <w:rPr>
                <w:rFonts w:hint="eastAsia"/>
                <w:color w:val="auto"/>
                <w:sz w:val="24"/>
                <w:szCs w:val="20"/>
              </w:rPr>
              <w:t>现有工程固体废物主要为生活垃圾，产生量1</w:t>
            </w:r>
            <w:r>
              <w:rPr>
                <w:color w:val="auto"/>
                <w:sz w:val="24"/>
                <w:szCs w:val="20"/>
              </w:rPr>
              <w:t>5.66</w:t>
            </w:r>
            <w:r>
              <w:rPr>
                <w:rFonts w:hint="eastAsia"/>
                <w:color w:val="auto"/>
                <w:sz w:val="24"/>
                <w:szCs w:val="20"/>
              </w:rPr>
              <w:t>t</w:t>
            </w:r>
            <w:r>
              <w:rPr>
                <w:color w:val="auto"/>
                <w:sz w:val="24"/>
                <w:szCs w:val="20"/>
              </w:rPr>
              <w:t>/</w:t>
            </w:r>
            <w:r>
              <w:rPr>
                <w:rFonts w:hint="eastAsia"/>
                <w:color w:val="auto"/>
                <w:sz w:val="24"/>
                <w:szCs w:val="20"/>
              </w:rPr>
              <w:t>a，由陕西龙门钢铁（集团）有限责任公司定期统一收集交环卫部门处置。</w:t>
            </w:r>
          </w:p>
          <w:p>
            <w:pPr>
              <w:spacing w:line="360" w:lineRule="auto"/>
              <w:ind w:firstLine="480" w:firstLineChars="200"/>
              <w:rPr>
                <w:color w:val="auto"/>
                <w:sz w:val="24"/>
                <w:szCs w:val="20"/>
              </w:rPr>
            </w:pPr>
            <w:r>
              <w:rPr>
                <w:rFonts w:hint="eastAsia"/>
                <w:color w:val="auto"/>
                <w:sz w:val="24"/>
                <w:szCs w:val="20"/>
              </w:rPr>
              <w:t>现有工程主要污染物产生及排放情况见表8。</w:t>
            </w:r>
          </w:p>
          <w:p>
            <w:pPr>
              <w:spacing w:line="360" w:lineRule="auto"/>
              <w:jc w:val="center"/>
              <w:rPr>
                <w:b/>
                <w:color w:val="auto"/>
                <w:sz w:val="24"/>
                <w:szCs w:val="20"/>
              </w:rPr>
            </w:pPr>
            <w:r>
              <w:rPr>
                <w:rFonts w:hint="eastAsia"/>
                <w:b/>
                <w:color w:val="auto"/>
                <w:sz w:val="24"/>
                <w:szCs w:val="20"/>
              </w:rPr>
              <w:t>表8</w:t>
            </w:r>
            <w:r>
              <w:rPr>
                <w:b/>
                <w:color w:val="auto"/>
                <w:sz w:val="24"/>
                <w:szCs w:val="20"/>
              </w:rPr>
              <w:t xml:space="preserve">   </w:t>
            </w:r>
            <w:r>
              <w:rPr>
                <w:rFonts w:hint="eastAsia"/>
                <w:b/>
                <w:color w:val="auto"/>
                <w:sz w:val="24"/>
                <w:szCs w:val="20"/>
              </w:rPr>
              <w:t>现有工程主要污染物产排情况表</w:t>
            </w:r>
          </w:p>
          <w:tbl>
            <w:tblPr>
              <w:tblStyle w:val="27"/>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135"/>
              <w:gridCol w:w="1136"/>
              <w:gridCol w:w="1232"/>
              <w:gridCol w:w="899"/>
              <w:gridCol w:w="1226"/>
              <w:gridCol w:w="1232"/>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6" w:type="dxa"/>
                  <w:vMerge w:val="restart"/>
                  <w:vAlign w:val="center"/>
                </w:tcPr>
                <w:p>
                  <w:pPr>
                    <w:jc w:val="center"/>
                    <w:rPr>
                      <w:color w:val="auto"/>
                    </w:rPr>
                  </w:pPr>
                  <w:r>
                    <w:rPr>
                      <w:rFonts w:hint="eastAsia"/>
                      <w:color w:val="auto"/>
                    </w:rPr>
                    <w:t>污染物类别</w:t>
                  </w:r>
                </w:p>
              </w:tc>
              <w:tc>
                <w:tcPr>
                  <w:tcW w:w="1135" w:type="dxa"/>
                  <w:vMerge w:val="restart"/>
                  <w:vAlign w:val="center"/>
                </w:tcPr>
                <w:p>
                  <w:pPr>
                    <w:jc w:val="center"/>
                    <w:rPr>
                      <w:color w:val="auto"/>
                    </w:rPr>
                  </w:pPr>
                  <w:r>
                    <w:rPr>
                      <w:rFonts w:hint="eastAsia"/>
                      <w:color w:val="auto"/>
                    </w:rPr>
                    <w:t>污染源</w:t>
                  </w:r>
                </w:p>
              </w:tc>
              <w:tc>
                <w:tcPr>
                  <w:tcW w:w="1136" w:type="dxa"/>
                  <w:vMerge w:val="restart"/>
                  <w:vAlign w:val="center"/>
                </w:tcPr>
                <w:p>
                  <w:pPr>
                    <w:jc w:val="center"/>
                    <w:rPr>
                      <w:color w:val="auto"/>
                    </w:rPr>
                  </w:pPr>
                  <w:r>
                    <w:rPr>
                      <w:rFonts w:hint="eastAsia"/>
                      <w:color w:val="auto"/>
                    </w:rPr>
                    <w:t>污染物</w:t>
                  </w:r>
                </w:p>
              </w:tc>
              <w:tc>
                <w:tcPr>
                  <w:tcW w:w="2131" w:type="dxa"/>
                  <w:gridSpan w:val="2"/>
                  <w:vAlign w:val="center"/>
                </w:tcPr>
                <w:p>
                  <w:pPr>
                    <w:jc w:val="center"/>
                    <w:rPr>
                      <w:color w:val="auto"/>
                    </w:rPr>
                  </w:pPr>
                  <w:r>
                    <w:rPr>
                      <w:rFonts w:hint="eastAsia"/>
                      <w:color w:val="auto"/>
                    </w:rPr>
                    <w:t>产生</w:t>
                  </w:r>
                </w:p>
              </w:tc>
              <w:tc>
                <w:tcPr>
                  <w:tcW w:w="1226" w:type="dxa"/>
                  <w:vMerge w:val="restart"/>
                  <w:vAlign w:val="center"/>
                </w:tcPr>
                <w:p>
                  <w:pPr>
                    <w:rPr>
                      <w:color w:val="auto"/>
                    </w:rPr>
                  </w:pPr>
                  <w:r>
                    <w:rPr>
                      <w:rFonts w:hint="eastAsia"/>
                      <w:color w:val="auto"/>
                    </w:rPr>
                    <w:t>治理措施</w:t>
                  </w:r>
                </w:p>
              </w:tc>
              <w:tc>
                <w:tcPr>
                  <w:tcW w:w="2297" w:type="dxa"/>
                  <w:gridSpan w:val="2"/>
                  <w:vAlign w:val="center"/>
                </w:tcPr>
                <w:p>
                  <w:pPr>
                    <w:jc w:val="center"/>
                    <w:rPr>
                      <w:color w:val="auto"/>
                    </w:rPr>
                  </w:pPr>
                  <w:r>
                    <w:rPr>
                      <w:rFonts w:hint="eastAsia"/>
                      <w:color w:val="auto"/>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6" w:type="dxa"/>
                  <w:vMerge w:val="continue"/>
                  <w:vAlign w:val="center"/>
                </w:tcPr>
                <w:p>
                  <w:pPr>
                    <w:rPr>
                      <w:color w:val="auto"/>
                    </w:rPr>
                  </w:pPr>
                </w:p>
              </w:tc>
              <w:tc>
                <w:tcPr>
                  <w:tcW w:w="1135" w:type="dxa"/>
                  <w:vMerge w:val="continue"/>
                  <w:vAlign w:val="center"/>
                </w:tcPr>
                <w:p>
                  <w:pPr>
                    <w:rPr>
                      <w:color w:val="auto"/>
                    </w:rPr>
                  </w:pPr>
                </w:p>
              </w:tc>
              <w:tc>
                <w:tcPr>
                  <w:tcW w:w="1136" w:type="dxa"/>
                  <w:vMerge w:val="continue"/>
                  <w:vAlign w:val="center"/>
                </w:tcPr>
                <w:p>
                  <w:pPr>
                    <w:rPr>
                      <w:color w:val="auto"/>
                    </w:rPr>
                  </w:pPr>
                </w:p>
              </w:tc>
              <w:tc>
                <w:tcPr>
                  <w:tcW w:w="1232" w:type="dxa"/>
                  <w:vAlign w:val="center"/>
                </w:tcPr>
                <w:p>
                  <w:pPr>
                    <w:rPr>
                      <w:color w:val="auto"/>
                    </w:rPr>
                  </w:pPr>
                  <w:r>
                    <w:rPr>
                      <w:rFonts w:hint="eastAsia"/>
                      <w:color w:val="auto"/>
                    </w:rPr>
                    <w:t>产生浓度</w:t>
                  </w:r>
                </w:p>
                <w:p>
                  <w:pPr>
                    <w:rPr>
                      <w:color w:val="auto"/>
                    </w:rPr>
                  </w:pPr>
                  <w:r>
                    <w:rPr>
                      <w:rFonts w:hint="eastAsia"/>
                      <w:color w:val="auto"/>
                    </w:rPr>
                    <w:t>（mg</w:t>
                  </w:r>
                  <w:r>
                    <w:rPr>
                      <w:color w:val="auto"/>
                    </w:rPr>
                    <w:t>/</w:t>
                  </w:r>
                  <w:r>
                    <w:rPr>
                      <w:rFonts w:hint="eastAsia"/>
                      <w:color w:val="auto"/>
                    </w:rPr>
                    <w:t>m</w:t>
                  </w:r>
                  <w:r>
                    <w:rPr>
                      <w:color w:val="auto"/>
                      <w:vertAlign w:val="superscript"/>
                    </w:rPr>
                    <w:t>3</w:t>
                  </w:r>
                  <w:r>
                    <w:rPr>
                      <w:rFonts w:hint="eastAsia"/>
                      <w:color w:val="auto"/>
                    </w:rPr>
                    <w:t>）</w:t>
                  </w:r>
                </w:p>
              </w:tc>
              <w:tc>
                <w:tcPr>
                  <w:tcW w:w="899" w:type="dxa"/>
                  <w:vAlign w:val="center"/>
                </w:tcPr>
                <w:p>
                  <w:pPr>
                    <w:rPr>
                      <w:color w:val="auto"/>
                    </w:rPr>
                  </w:pPr>
                  <w:r>
                    <w:rPr>
                      <w:rFonts w:hint="eastAsia"/>
                      <w:color w:val="auto"/>
                    </w:rPr>
                    <w:t>产生量</w:t>
                  </w:r>
                </w:p>
                <w:p>
                  <w:pPr>
                    <w:rPr>
                      <w:color w:val="auto"/>
                    </w:rPr>
                  </w:pPr>
                  <w:r>
                    <w:rPr>
                      <w:rFonts w:hint="eastAsia"/>
                      <w:color w:val="auto"/>
                    </w:rPr>
                    <w:t>（t</w:t>
                  </w:r>
                  <w:r>
                    <w:rPr>
                      <w:color w:val="auto"/>
                    </w:rPr>
                    <w:t>/</w:t>
                  </w:r>
                  <w:r>
                    <w:rPr>
                      <w:rFonts w:hint="eastAsia"/>
                      <w:color w:val="auto"/>
                    </w:rPr>
                    <w:t>a）</w:t>
                  </w:r>
                </w:p>
              </w:tc>
              <w:tc>
                <w:tcPr>
                  <w:tcW w:w="1226" w:type="dxa"/>
                  <w:vMerge w:val="continue"/>
                  <w:vAlign w:val="center"/>
                </w:tcPr>
                <w:p>
                  <w:pPr>
                    <w:rPr>
                      <w:color w:val="auto"/>
                    </w:rPr>
                  </w:pPr>
                </w:p>
              </w:tc>
              <w:tc>
                <w:tcPr>
                  <w:tcW w:w="1232" w:type="dxa"/>
                  <w:vAlign w:val="center"/>
                </w:tcPr>
                <w:p>
                  <w:pPr>
                    <w:rPr>
                      <w:color w:val="auto"/>
                    </w:rPr>
                  </w:pPr>
                  <w:r>
                    <w:rPr>
                      <w:rFonts w:hint="eastAsia"/>
                      <w:color w:val="auto"/>
                    </w:rPr>
                    <w:t>排放浓度</w:t>
                  </w:r>
                </w:p>
                <w:p>
                  <w:pPr>
                    <w:rPr>
                      <w:color w:val="auto"/>
                    </w:rPr>
                  </w:pPr>
                  <w:r>
                    <w:rPr>
                      <w:rFonts w:hint="eastAsia"/>
                      <w:color w:val="auto"/>
                    </w:rPr>
                    <w:t>（mg</w:t>
                  </w:r>
                  <w:r>
                    <w:rPr>
                      <w:color w:val="auto"/>
                    </w:rPr>
                    <w:t>/</w:t>
                  </w:r>
                  <w:r>
                    <w:rPr>
                      <w:rFonts w:hint="eastAsia"/>
                      <w:color w:val="auto"/>
                    </w:rPr>
                    <w:t>m</w:t>
                  </w:r>
                  <w:r>
                    <w:rPr>
                      <w:color w:val="auto"/>
                      <w:vertAlign w:val="superscript"/>
                    </w:rPr>
                    <w:t>3</w:t>
                  </w:r>
                  <w:r>
                    <w:rPr>
                      <w:rFonts w:hint="eastAsia"/>
                      <w:color w:val="auto"/>
                    </w:rPr>
                    <w:t>）</w:t>
                  </w:r>
                </w:p>
              </w:tc>
              <w:tc>
                <w:tcPr>
                  <w:tcW w:w="1065" w:type="dxa"/>
                  <w:vAlign w:val="center"/>
                </w:tcPr>
                <w:p>
                  <w:pPr>
                    <w:rPr>
                      <w:color w:val="auto"/>
                    </w:rPr>
                  </w:pPr>
                  <w:r>
                    <w:rPr>
                      <w:rFonts w:hint="eastAsia"/>
                      <w:color w:val="auto"/>
                    </w:rPr>
                    <w:t>排放量</w:t>
                  </w:r>
                </w:p>
                <w:p>
                  <w:pPr>
                    <w:rPr>
                      <w:color w:val="auto"/>
                    </w:rPr>
                  </w:pPr>
                  <w:r>
                    <w:rPr>
                      <w:rFonts w:hint="eastAsia"/>
                      <w:color w:val="auto"/>
                    </w:rPr>
                    <w:t>（t</w:t>
                  </w:r>
                  <w:r>
                    <w:rPr>
                      <w:color w:val="auto"/>
                    </w:rPr>
                    <w:t>/</w:t>
                  </w:r>
                  <w:r>
                    <w:rPr>
                      <w:rFonts w:hint="eastAsia"/>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6" w:type="dxa"/>
                  <w:vMerge w:val="restart"/>
                  <w:vAlign w:val="center"/>
                </w:tcPr>
                <w:p>
                  <w:pPr>
                    <w:jc w:val="center"/>
                    <w:rPr>
                      <w:color w:val="auto"/>
                    </w:rPr>
                  </w:pPr>
                  <w:r>
                    <w:rPr>
                      <w:rFonts w:hint="eastAsia"/>
                      <w:color w:val="auto"/>
                    </w:rPr>
                    <w:t>废气</w:t>
                  </w:r>
                </w:p>
              </w:tc>
              <w:tc>
                <w:tcPr>
                  <w:tcW w:w="1135" w:type="dxa"/>
                  <w:vMerge w:val="restart"/>
                  <w:vAlign w:val="center"/>
                </w:tcPr>
                <w:p>
                  <w:pPr>
                    <w:rPr>
                      <w:color w:val="auto"/>
                    </w:rPr>
                  </w:pPr>
                  <w:r>
                    <w:rPr>
                      <w:rFonts w:hint="eastAsia"/>
                      <w:color w:val="auto"/>
                    </w:rPr>
                    <w:t>1#烟囱</w:t>
                  </w:r>
                </w:p>
              </w:tc>
              <w:tc>
                <w:tcPr>
                  <w:tcW w:w="1136" w:type="dxa"/>
                  <w:vAlign w:val="center"/>
                </w:tcPr>
                <w:p>
                  <w:pPr>
                    <w:jc w:val="center"/>
                    <w:rPr>
                      <w:color w:val="auto"/>
                    </w:rPr>
                  </w:pPr>
                  <w:r>
                    <w:rPr>
                      <w:rFonts w:hint="eastAsia"/>
                      <w:color w:val="auto"/>
                    </w:rPr>
                    <w:t>颗粒物</w:t>
                  </w:r>
                </w:p>
              </w:tc>
              <w:tc>
                <w:tcPr>
                  <w:tcW w:w="1232" w:type="dxa"/>
                  <w:vAlign w:val="center"/>
                </w:tcPr>
                <w:p>
                  <w:pPr>
                    <w:jc w:val="center"/>
                    <w:rPr>
                      <w:color w:val="auto"/>
                    </w:rPr>
                  </w:pPr>
                  <w:r>
                    <w:rPr>
                      <w:rFonts w:hint="eastAsia"/>
                      <w:color w:val="auto"/>
                    </w:rPr>
                    <w:t>4.8</w:t>
                  </w:r>
                </w:p>
              </w:tc>
              <w:tc>
                <w:tcPr>
                  <w:tcW w:w="899" w:type="dxa"/>
                  <w:vAlign w:val="center"/>
                </w:tcPr>
                <w:p>
                  <w:pPr>
                    <w:jc w:val="center"/>
                    <w:rPr>
                      <w:rFonts w:ascii="宋体" w:hAnsi="宋体" w:cs="宋体"/>
                      <w:color w:val="auto"/>
                    </w:rPr>
                  </w:pPr>
                  <w:r>
                    <w:rPr>
                      <w:rFonts w:hint="eastAsia"/>
                      <w:color w:val="auto"/>
                    </w:rPr>
                    <w:t>11.80</w:t>
                  </w:r>
                </w:p>
              </w:tc>
              <w:tc>
                <w:tcPr>
                  <w:tcW w:w="1226" w:type="dxa"/>
                  <w:vMerge w:val="restart"/>
                  <w:vAlign w:val="center"/>
                </w:tcPr>
                <w:p>
                  <w:pPr>
                    <w:rPr>
                      <w:color w:val="auto"/>
                    </w:rPr>
                  </w:pPr>
                  <w:r>
                    <w:rPr>
                      <w:rFonts w:hint="eastAsia"/>
                      <w:color w:val="auto"/>
                    </w:rPr>
                    <w:t>低氮燃烧+</w:t>
                  </w:r>
                  <w:r>
                    <w:rPr>
                      <w:color w:val="auto"/>
                    </w:rPr>
                    <w:t>80</w:t>
                  </w:r>
                  <w:r>
                    <w:rPr>
                      <w:rFonts w:hint="eastAsia"/>
                      <w:color w:val="auto"/>
                    </w:rPr>
                    <w:t>m烟囱排放</w:t>
                  </w:r>
                </w:p>
              </w:tc>
              <w:tc>
                <w:tcPr>
                  <w:tcW w:w="1232" w:type="dxa"/>
                  <w:vAlign w:val="center"/>
                </w:tcPr>
                <w:p>
                  <w:pPr>
                    <w:jc w:val="center"/>
                    <w:rPr>
                      <w:color w:val="auto"/>
                    </w:rPr>
                  </w:pPr>
                  <w:r>
                    <w:rPr>
                      <w:rFonts w:hint="eastAsia"/>
                      <w:color w:val="auto"/>
                    </w:rPr>
                    <w:t>4.8</w:t>
                  </w:r>
                </w:p>
              </w:tc>
              <w:tc>
                <w:tcPr>
                  <w:tcW w:w="1065" w:type="dxa"/>
                  <w:vAlign w:val="center"/>
                </w:tcPr>
                <w:p>
                  <w:pPr>
                    <w:jc w:val="center"/>
                    <w:rPr>
                      <w:rFonts w:ascii="宋体" w:hAnsi="宋体" w:cs="宋体"/>
                      <w:color w:val="auto"/>
                    </w:rPr>
                  </w:pPr>
                  <w:r>
                    <w:rPr>
                      <w:rFonts w:hint="eastAsia"/>
                      <w:color w:val="auto"/>
                    </w:rPr>
                    <w:t>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6" w:type="dxa"/>
                  <w:vMerge w:val="continue"/>
                  <w:vAlign w:val="center"/>
                </w:tcPr>
                <w:p>
                  <w:pPr>
                    <w:jc w:val="center"/>
                    <w:rPr>
                      <w:color w:val="auto"/>
                    </w:rPr>
                  </w:pPr>
                </w:p>
              </w:tc>
              <w:tc>
                <w:tcPr>
                  <w:tcW w:w="1135" w:type="dxa"/>
                  <w:vMerge w:val="continue"/>
                  <w:vAlign w:val="center"/>
                </w:tcPr>
                <w:p>
                  <w:pPr>
                    <w:rPr>
                      <w:color w:val="auto"/>
                    </w:rPr>
                  </w:pPr>
                </w:p>
              </w:tc>
              <w:tc>
                <w:tcPr>
                  <w:tcW w:w="1136" w:type="dxa"/>
                  <w:vAlign w:val="center"/>
                </w:tcPr>
                <w:p>
                  <w:pPr>
                    <w:jc w:val="center"/>
                    <w:rPr>
                      <w:color w:val="auto"/>
                    </w:rPr>
                  </w:pPr>
                  <w:r>
                    <w:rPr>
                      <w:rFonts w:hint="eastAsia"/>
                      <w:color w:val="auto"/>
                    </w:rPr>
                    <w:t>SO</w:t>
                  </w:r>
                  <w:r>
                    <w:rPr>
                      <w:rFonts w:hint="eastAsia"/>
                      <w:color w:val="auto"/>
                      <w:vertAlign w:val="subscript"/>
                    </w:rPr>
                    <w:t>2</w:t>
                  </w:r>
                </w:p>
              </w:tc>
              <w:tc>
                <w:tcPr>
                  <w:tcW w:w="1232" w:type="dxa"/>
                  <w:vAlign w:val="center"/>
                </w:tcPr>
                <w:p>
                  <w:pPr>
                    <w:jc w:val="center"/>
                    <w:rPr>
                      <w:color w:val="auto"/>
                    </w:rPr>
                  </w:pPr>
                  <w:r>
                    <w:rPr>
                      <w:rFonts w:hint="eastAsia"/>
                      <w:color w:val="auto"/>
                    </w:rPr>
                    <w:t>80.5</w:t>
                  </w:r>
                </w:p>
              </w:tc>
              <w:tc>
                <w:tcPr>
                  <w:tcW w:w="899" w:type="dxa"/>
                  <w:vAlign w:val="center"/>
                </w:tcPr>
                <w:p>
                  <w:pPr>
                    <w:jc w:val="center"/>
                    <w:rPr>
                      <w:rFonts w:ascii="宋体" w:hAnsi="宋体" w:cs="宋体"/>
                      <w:color w:val="auto"/>
                    </w:rPr>
                  </w:pPr>
                  <w:r>
                    <w:rPr>
                      <w:rFonts w:hint="eastAsia"/>
                      <w:color w:val="auto"/>
                    </w:rPr>
                    <w:t>198.40</w:t>
                  </w:r>
                </w:p>
              </w:tc>
              <w:tc>
                <w:tcPr>
                  <w:tcW w:w="1226" w:type="dxa"/>
                  <w:vMerge w:val="continue"/>
                  <w:vAlign w:val="center"/>
                </w:tcPr>
                <w:p>
                  <w:pPr>
                    <w:rPr>
                      <w:color w:val="auto"/>
                    </w:rPr>
                  </w:pPr>
                </w:p>
              </w:tc>
              <w:tc>
                <w:tcPr>
                  <w:tcW w:w="1232" w:type="dxa"/>
                  <w:vAlign w:val="center"/>
                </w:tcPr>
                <w:p>
                  <w:pPr>
                    <w:jc w:val="center"/>
                    <w:rPr>
                      <w:color w:val="auto"/>
                    </w:rPr>
                  </w:pPr>
                  <w:r>
                    <w:rPr>
                      <w:rFonts w:hint="eastAsia"/>
                      <w:color w:val="auto"/>
                    </w:rPr>
                    <w:t>80.5</w:t>
                  </w:r>
                </w:p>
              </w:tc>
              <w:tc>
                <w:tcPr>
                  <w:tcW w:w="1065" w:type="dxa"/>
                  <w:vAlign w:val="center"/>
                </w:tcPr>
                <w:p>
                  <w:pPr>
                    <w:jc w:val="center"/>
                    <w:rPr>
                      <w:rFonts w:ascii="宋体" w:hAnsi="宋体" w:cs="宋体"/>
                      <w:color w:val="auto"/>
                    </w:rPr>
                  </w:pPr>
                  <w:r>
                    <w:rPr>
                      <w:rFonts w:hint="eastAsia"/>
                      <w:color w:val="auto"/>
                    </w:rPr>
                    <w:t>198.40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1136" w:type="dxa"/>
                  <w:vMerge w:val="continue"/>
                  <w:vAlign w:val="center"/>
                </w:tcPr>
                <w:p>
                  <w:pPr>
                    <w:jc w:val="center"/>
                    <w:rPr>
                      <w:color w:val="auto"/>
                    </w:rPr>
                  </w:pPr>
                </w:p>
              </w:tc>
              <w:tc>
                <w:tcPr>
                  <w:tcW w:w="1135" w:type="dxa"/>
                  <w:vMerge w:val="continue"/>
                  <w:vAlign w:val="center"/>
                </w:tcPr>
                <w:p>
                  <w:pPr>
                    <w:rPr>
                      <w:color w:val="auto"/>
                    </w:rPr>
                  </w:pPr>
                </w:p>
              </w:tc>
              <w:tc>
                <w:tcPr>
                  <w:tcW w:w="1136" w:type="dxa"/>
                  <w:vAlign w:val="center"/>
                </w:tcPr>
                <w:p>
                  <w:pPr>
                    <w:jc w:val="center"/>
                    <w:rPr>
                      <w:color w:val="auto"/>
                    </w:rPr>
                  </w:pPr>
                  <w:r>
                    <w:rPr>
                      <w:rFonts w:hint="eastAsia"/>
                      <w:color w:val="auto"/>
                    </w:rPr>
                    <w:t>NO</w:t>
                  </w:r>
                  <w:r>
                    <w:rPr>
                      <w:rFonts w:hint="eastAsia"/>
                      <w:color w:val="auto"/>
                      <w:vertAlign w:val="subscript"/>
                    </w:rPr>
                    <w:t>X</w:t>
                  </w:r>
                </w:p>
              </w:tc>
              <w:tc>
                <w:tcPr>
                  <w:tcW w:w="1232" w:type="dxa"/>
                  <w:vAlign w:val="center"/>
                </w:tcPr>
                <w:p>
                  <w:pPr>
                    <w:jc w:val="center"/>
                    <w:rPr>
                      <w:color w:val="auto"/>
                    </w:rPr>
                  </w:pPr>
                  <w:r>
                    <w:rPr>
                      <w:rFonts w:hint="eastAsia"/>
                      <w:color w:val="auto"/>
                    </w:rPr>
                    <w:t>72.3</w:t>
                  </w:r>
                </w:p>
              </w:tc>
              <w:tc>
                <w:tcPr>
                  <w:tcW w:w="899" w:type="dxa"/>
                  <w:vAlign w:val="center"/>
                </w:tcPr>
                <w:p>
                  <w:pPr>
                    <w:jc w:val="center"/>
                    <w:rPr>
                      <w:rFonts w:ascii="宋体" w:hAnsi="宋体" w:cs="宋体"/>
                      <w:color w:val="auto"/>
                    </w:rPr>
                  </w:pPr>
                  <w:r>
                    <w:rPr>
                      <w:rFonts w:hint="eastAsia"/>
                      <w:color w:val="auto"/>
                    </w:rPr>
                    <w:t>178.20</w:t>
                  </w:r>
                </w:p>
              </w:tc>
              <w:tc>
                <w:tcPr>
                  <w:tcW w:w="1226" w:type="dxa"/>
                  <w:vMerge w:val="continue"/>
                  <w:vAlign w:val="center"/>
                </w:tcPr>
                <w:p>
                  <w:pPr>
                    <w:rPr>
                      <w:color w:val="auto"/>
                    </w:rPr>
                  </w:pPr>
                </w:p>
              </w:tc>
              <w:tc>
                <w:tcPr>
                  <w:tcW w:w="1232" w:type="dxa"/>
                  <w:vAlign w:val="center"/>
                </w:tcPr>
                <w:p>
                  <w:pPr>
                    <w:jc w:val="center"/>
                    <w:rPr>
                      <w:color w:val="auto"/>
                    </w:rPr>
                  </w:pPr>
                  <w:r>
                    <w:rPr>
                      <w:rFonts w:hint="eastAsia"/>
                      <w:color w:val="auto"/>
                    </w:rPr>
                    <w:t>72.3</w:t>
                  </w:r>
                </w:p>
              </w:tc>
              <w:tc>
                <w:tcPr>
                  <w:tcW w:w="1065" w:type="dxa"/>
                  <w:vAlign w:val="center"/>
                </w:tcPr>
                <w:p>
                  <w:pPr>
                    <w:jc w:val="center"/>
                    <w:rPr>
                      <w:rFonts w:ascii="宋体" w:hAnsi="宋体" w:cs="宋体"/>
                      <w:color w:val="auto"/>
                    </w:rPr>
                  </w:pPr>
                  <w:r>
                    <w:rPr>
                      <w:rFonts w:hint="eastAsia"/>
                      <w:color w:val="auto"/>
                    </w:rPr>
                    <w:t>178.20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6" w:type="dxa"/>
                  <w:vMerge w:val="continue"/>
                  <w:vAlign w:val="center"/>
                </w:tcPr>
                <w:p>
                  <w:pPr>
                    <w:jc w:val="center"/>
                    <w:rPr>
                      <w:color w:val="auto"/>
                    </w:rPr>
                  </w:pPr>
                </w:p>
              </w:tc>
              <w:tc>
                <w:tcPr>
                  <w:tcW w:w="1135" w:type="dxa"/>
                  <w:vMerge w:val="restart"/>
                  <w:vAlign w:val="center"/>
                </w:tcPr>
                <w:p>
                  <w:pPr>
                    <w:rPr>
                      <w:color w:val="auto"/>
                    </w:rPr>
                  </w:pPr>
                  <w:r>
                    <w:rPr>
                      <w:rFonts w:hint="eastAsia"/>
                      <w:color w:val="auto"/>
                    </w:rPr>
                    <w:t>2#烟囱</w:t>
                  </w:r>
                </w:p>
              </w:tc>
              <w:tc>
                <w:tcPr>
                  <w:tcW w:w="1136" w:type="dxa"/>
                  <w:vAlign w:val="center"/>
                </w:tcPr>
                <w:p>
                  <w:pPr>
                    <w:jc w:val="center"/>
                    <w:rPr>
                      <w:color w:val="auto"/>
                    </w:rPr>
                  </w:pPr>
                  <w:r>
                    <w:rPr>
                      <w:rFonts w:hint="eastAsia"/>
                      <w:color w:val="auto"/>
                    </w:rPr>
                    <w:t>颗粒物</w:t>
                  </w:r>
                </w:p>
              </w:tc>
              <w:tc>
                <w:tcPr>
                  <w:tcW w:w="1232" w:type="dxa"/>
                  <w:vAlign w:val="center"/>
                </w:tcPr>
                <w:p>
                  <w:pPr>
                    <w:jc w:val="center"/>
                    <w:rPr>
                      <w:color w:val="auto"/>
                    </w:rPr>
                  </w:pPr>
                  <w:r>
                    <w:rPr>
                      <w:rFonts w:hint="eastAsia"/>
                      <w:color w:val="auto"/>
                    </w:rPr>
                    <w:t>4.8</w:t>
                  </w:r>
                </w:p>
              </w:tc>
              <w:tc>
                <w:tcPr>
                  <w:tcW w:w="899" w:type="dxa"/>
                  <w:vAlign w:val="center"/>
                </w:tcPr>
                <w:p>
                  <w:pPr>
                    <w:jc w:val="center"/>
                    <w:rPr>
                      <w:rFonts w:ascii="宋体" w:hAnsi="宋体" w:cs="宋体"/>
                      <w:color w:val="auto"/>
                    </w:rPr>
                  </w:pPr>
                  <w:r>
                    <w:rPr>
                      <w:rFonts w:hint="eastAsia"/>
                      <w:color w:val="auto"/>
                    </w:rPr>
                    <w:t>8.79</w:t>
                  </w:r>
                </w:p>
              </w:tc>
              <w:tc>
                <w:tcPr>
                  <w:tcW w:w="1226" w:type="dxa"/>
                  <w:vMerge w:val="restart"/>
                  <w:vAlign w:val="center"/>
                </w:tcPr>
                <w:p>
                  <w:pPr>
                    <w:rPr>
                      <w:color w:val="auto"/>
                    </w:rPr>
                  </w:pPr>
                  <w:r>
                    <w:rPr>
                      <w:rFonts w:hint="eastAsia"/>
                      <w:color w:val="auto"/>
                    </w:rPr>
                    <w:t>低氮燃烧+</w:t>
                  </w:r>
                  <w:r>
                    <w:rPr>
                      <w:color w:val="auto"/>
                    </w:rPr>
                    <w:t>80</w:t>
                  </w:r>
                  <w:r>
                    <w:rPr>
                      <w:rFonts w:hint="eastAsia"/>
                      <w:color w:val="auto"/>
                    </w:rPr>
                    <w:t>m烟囱排放</w:t>
                  </w:r>
                </w:p>
              </w:tc>
              <w:tc>
                <w:tcPr>
                  <w:tcW w:w="1232" w:type="dxa"/>
                  <w:vAlign w:val="center"/>
                </w:tcPr>
                <w:p>
                  <w:pPr>
                    <w:jc w:val="center"/>
                    <w:rPr>
                      <w:color w:val="auto"/>
                    </w:rPr>
                  </w:pPr>
                  <w:r>
                    <w:rPr>
                      <w:rFonts w:hint="eastAsia"/>
                      <w:color w:val="auto"/>
                    </w:rPr>
                    <w:t>4.8</w:t>
                  </w:r>
                </w:p>
              </w:tc>
              <w:tc>
                <w:tcPr>
                  <w:tcW w:w="1065" w:type="dxa"/>
                  <w:vAlign w:val="center"/>
                </w:tcPr>
                <w:p>
                  <w:pPr>
                    <w:jc w:val="center"/>
                    <w:rPr>
                      <w:rFonts w:ascii="宋体" w:hAnsi="宋体" w:cs="宋体"/>
                      <w:color w:val="auto"/>
                    </w:rPr>
                  </w:pPr>
                  <w:r>
                    <w:rPr>
                      <w:rFonts w:hint="eastAsia"/>
                      <w:color w:val="auto"/>
                    </w:rPr>
                    <w:t>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6" w:type="dxa"/>
                  <w:vMerge w:val="continue"/>
                  <w:vAlign w:val="center"/>
                </w:tcPr>
                <w:p>
                  <w:pPr>
                    <w:jc w:val="center"/>
                    <w:rPr>
                      <w:color w:val="auto"/>
                    </w:rPr>
                  </w:pPr>
                </w:p>
              </w:tc>
              <w:tc>
                <w:tcPr>
                  <w:tcW w:w="1135" w:type="dxa"/>
                  <w:vMerge w:val="continue"/>
                  <w:vAlign w:val="center"/>
                </w:tcPr>
                <w:p>
                  <w:pPr>
                    <w:rPr>
                      <w:color w:val="auto"/>
                    </w:rPr>
                  </w:pPr>
                </w:p>
              </w:tc>
              <w:tc>
                <w:tcPr>
                  <w:tcW w:w="1136" w:type="dxa"/>
                  <w:vAlign w:val="center"/>
                </w:tcPr>
                <w:p>
                  <w:pPr>
                    <w:jc w:val="center"/>
                    <w:rPr>
                      <w:color w:val="auto"/>
                    </w:rPr>
                  </w:pPr>
                  <w:r>
                    <w:rPr>
                      <w:rFonts w:hint="eastAsia"/>
                      <w:color w:val="auto"/>
                    </w:rPr>
                    <w:t>SO</w:t>
                  </w:r>
                  <w:r>
                    <w:rPr>
                      <w:rFonts w:hint="eastAsia"/>
                      <w:color w:val="auto"/>
                      <w:vertAlign w:val="subscript"/>
                    </w:rPr>
                    <w:t>2</w:t>
                  </w:r>
                </w:p>
              </w:tc>
              <w:tc>
                <w:tcPr>
                  <w:tcW w:w="1232" w:type="dxa"/>
                  <w:vAlign w:val="center"/>
                </w:tcPr>
                <w:p>
                  <w:pPr>
                    <w:jc w:val="center"/>
                    <w:rPr>
                      <w:color w:val="auto"/>
                    </w:rPr>
                  </w:pPr>
                  <w:r>
                    <w:rPr>
                      <w:rFonts w:hint="eastAsia"/>
                      <w:color w:val="auto"/>
                    </w:rPr>
                    <w:t>91.9</w:t>
                  </w:r>
                </w:p>
              </w:tc>
              <w:tc>
                <w:tcPr>
                  <w:tcW w:w="899" w:type="dxa"/>
                  <w:vAlign w:val="center"/>
                </w:tcPr>
                <w:p>
                  <w:pPr>
                    <w:jc w:val="center"/>
                    <w:rPr>
                      <w:rFonts w:ascii="宋体" w:hAnsi="宋体" w:cs="宋体"/>
                      <w:color w:val="auto"/>
                    </w:rPr>
                  </w:pPr>
                  <w:r>
                    <w:rPr>
                      <w:rFonts w:hint="eastAsia"/>
                      <w:color w:val="auto"/>
                    </w:rPr>
                    <w:t>169.09</w:t>
                  </w:r>
                </w:p>
              </w:tc>
              <w:tc>
                <w:tcPr>
                  <w:tcW w:w="1226" w:type="dxa"/>
                  <w:vMerge w:val="continue"/>
                  <w:vAlign w:val="center"/>
                </w:tcPr>
                <w:p>
                  <w:pPr>
                    <w:rPr>
                      <w:color w:val="auto"/>
                    </w:rPr>
                  </w:pPr>
                </w:p>
              </w:tc>
              <w:tc>
                <w:tcPr>
                  <w:tcW w:w="1232" w:type="dxa"/>
                  <w:vAlign w:val="center"/>
                </w:tcPr>
                <w:p>
                  <w:pPr>
                    <w:jc w:val="center"/>
                    <w:rPr>
                      <w:color w:val="auto"/>
                    </w:rPr>
                  </w:pPr>
                  <w:r>
                    <w:rPr>
                      <w:rFonts w:hint="eastAsia"/>
                      <w:color w:val="auto"/>
                    </w:rPr>
                    <w:t>91.9</w:t>
                  </w:r>
                </w:p>
              </w:tc>
              <w:tc>
                <w:tcPr>
                  <w:tcW w:w="1065" w:type="dxa"/>
                  <w:vAlign w:val="center"/>
                </w:tcPr>
                <w:p>
                  <w:pPr>
                    <w:jc w:val="center"/>
                    <w:rPr>
                      <w:rFonts w:ascii="宋体" w:hAnsi="宋体" w:cs="宋体"/>
                      <w:color w:val="auto"/>
                    </w:rPr>
                  </w:pPr>
                  <w:r>
                    <w:rPr>
                      <w:rFonts w:hint="eastAsia"/>
                      <w:color w:val="auto"/>
                    </w:rPr>
                    <w:t>169.09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6" w:type="dxa"/>
                  <w:vMerge w:val="continue"/>
                  <w:vAlign w:val="center"/>
                </w:tcPr>
                <w:p>
                  <w:pPr>
                    <w:jc w:val="center"/>
                    <w:rPr>
                      <w:color w:val="auto"/>
                    </w:rPr>
                  </w:pPr>
                </w:p>
              </w:tc>
              <w:tc>
                <w:tcPr>
                  <w:tcW w:w="1135" w:type="dxa"/>
                  <w:vMerge w:val="continue"/>
                  <w:vAlign w:val="center"/>
                </w:tcPr>
                <w:p>
                  <w:pPr>
                    <w:rPr>
                      <w:color w:val="auto"/>
                    </w:rPr>
                  </w:pPr>
                </w:p>
              </w:tc>
              <w:tc>
                <w:tcPr>
                  <w:tcW w:w="1136" w:type="dxa"/>
                  <w:vAlign w:val="center"/>
                </w:tcPr>
                <w:p>
                  <w:pPr>
                    <w:jc w:val="center"/>
                    <w:rPr>
                      <w:color w:val="auto"/>
                    </w:rPr>
                  </w:pPr>
                  <w:r>
                    <w:rPr>
                      <w:rFonts w:hint="eastAsia"/>
                      <w:color w:val="auto"/>
                    </w:rPr>
                    <w:t>NO</w:t>
                  </w:r>
                  <w:r>
                    <w:rPr>
                      <w:rFonts w:hint="eastAsia"/>
                      <w:color w:val="auto"/>
                      <w:vertAlign w:val="subscript"/>
                    </w:rPr>
                    <w:t>X</w:t>
                  </w:r>
                </w:p>
              </w:tc>
              <w:tc>
                <w:tcPr>
                  <w:tcW w:w="1232" w:type="dxa"/>
                  <w:vAlign w:val="center"/>
                </w:tcPr>
                <w:p>
                  <w:pPr>
                    <w:jc w:val="center"/>
                    <w:rPr>
                      <w:color w:val="auto"/>
                    </w:rPr>
                  </w:pPr>
                  <w:r>
                    <w:rPr>
                      <w:rFonts w:hint="eastAsia"/>
                      <w:color w:val="auto"/>
                    </w:rPr>
                    <w:t>74.9</w:t>
                  </w:r>
                </w:p>
              </w:tc>
              <w:tc>
                <w:tcPr>
                  <w:tcW w:w="899" w:type="dxa"/>
                  <w:vAlign w:val="center"/>
                </w:tcPr>
                <w:p>
                  <w:pPr>
                    <w:jc w:val="center"/>
                    <w:rPr>
                      <w:rFonts w:ascii="宋体" w:hAnsi="宋体" w:cs="宋体"/>
                      <w:color w:val="auto"/>
                    </w:rPr>
                  </w:pPr>
                  <w:r>
                    <w:rPr>
                      <w:rFonts w:hint="eastAsia"/>
                      <w:color w:val="auto"/>
                    </w:rPr>
                    <w:t>137.81</w:t>
                  </w:r>
                </w:p>
              </w:tc>
              <w:tc>
                <w:tcPr>
                  <w:tcW w:w="1226" w:type="dxa"/>
                  <w:vMerge w:val="continue"/>
                  <w:vAlign w:val="center"/>
                </w:tcPr>
                <w:p>
                  <w:pPr>
                    <w:rPr>
                      <w:color w:val="auto"/>
                    </w:rPr>
                  </w:pPr>
                </w:p>
              </w:tc>
              <w:tc>
                <w:tcPr>
                  <w:tcW w:w="1232" w:type="dxa"/>
                  <w:vAlign w:val="center"/>
                </w:tcPr>
                <w:p>
                  <w:pPr>
                    <w:jc w:val="center"/>
                    <w:rPr>
                      <w:color w:val="auto"/>
                    </w:rPr>
                  </w:pPr>
                  <w:r>
                    <w:rPr>
                      <w:rFonts w:hint="eastAsia"/>
                      <w:color w:val="auto"/>
                    </w:rPr>
                    <w:t>74.9</w:t>
                  </w:r>
                </w:p>
              </w:tc>
              <w:tc>
                <w:tcPr>
                  <w:tcW w:w="1065" w:type="dxa"/>
                  <w:vAlign w:val="center"/>
                </w:tcPr>
                <w:p>
                  <w:pPr>
                    <w:jc w:val="center"/>
                    <w:rPr>
                      <w:rFonts w:ascii="宋体" w:hAnsi="宋体" w:cs="宋体"/>
                      <w:color w:val="auto"/>
                    </w:rPr>
                  </w:pPr>
                  <w:r>
                    <w:rPr>
                      <w:rFonts w:hint="eastAsia"/>
                      <w:color w:val="auto"/>
                    </w:rPr>
                    <w:t>137.81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6" w:type="dxa"/>
                  <w:vMerge w:val="continue"/>
                  <w:vAlign w:val="center"/>
                </w:tcPr>
                <w:p>
                  <w:pPr>
                    <w:jc w:val="center"/>
                    <w:rPr>
                      <w:color w:val="auto"/>
                    </w:rPr>
                  </w:pPr>
                </w:p>
              </w:tc>
              <w:tc>
                <w:tcPr>
                  <w:tcW w:w="1135" w:type="dxa"/>
                  <w:vMerge w:val="restart"/>
                  <w:vAlign w:val="center"/>
                </w:tcPr>
                <w:p>
                  <w:pPr>
                    <w:rPr>
                      <w:color w:val="auto"/>
                    </w:rPr>
                  </w:pPr>
                  <w:r>
                    <w:rPr>
                      <w:rFonts w:hint="eastAsia"/>
                      <w:color w:val="auto"/>
                    </w:rPr>
                    <w:t>3#烟囱</w:t>
                  </w:r>
                </w:p>
              </w:tc>
              <w:tc>
                <w:tcPr>
                  <w:tcW w:w="1136" w:type="dxa"/>
                  <w:vAlign w:val="center"/>
                </w:tcPr>
                <w:p>
                  <w:pPr>
                    <w:jc w:val="center"/>
                    <w:rPr>
                      <w:color w:val="auto"/>
                    </w:rPr>
                  </w:pPr>
                  <w:r>
                    <w:rPr>
                      <w:rFonts w:hint="eastAsia"/>
                      <w:color w:val="auto"/>
                    </w:rPr>
                    <w:t>颗粒物</w:t>
                  </w:r>
                </w:p>
              </w:tc>
              <w:tc>
                <w:tcPr>
                  <w:tcW w:w="1232" w:type="dxa"/>
                  <w:vAlign w:val="center"/>
                </w:tcPr>
                <w:p>
                  <w:pPr>
                    <w:jc w:val="center"/>
                    <w:rPr>
                      <w:color w:val="auto"/>
                    </w:rPr>
                  </w:pPr>
                  <w:r>
                    <w:rPr>
                      <w:rFonts w:hint="eastAsia"/>
                      <w:color w:val="auto"/>
                    </w:rPr>
                    <w:t>4.9</w:t>
                  </w:r>
                </w:p>
              </w:tc>
              <w:tc>
                <w:tcPr>
                  <w:tcW w:w="899" w:type="dxa"/>
                  <w:vAlign w:val="center"/>
                </w:tcPr>
                <w:p>
                  <w:pPr>
                    <w:jc w:val="center"/>
                    <w:rPr>
                      <w:rFonts w:ascii="宋体" w:hAnsi="宋体" w:cs="宋体"/>
                      <w:color w:val="auto"/>
                    </w:rPr>
                  </w:pPr>
                  <w:r>
                    <w:rPr>
                      <w:rFonts w:hint="eastAsia"/>
                      <w:color w:val="auto"/>
                    </w:rPr>
                    <w:t>24.71</w:t>
                  </w:r>
                </w:p>
              </w:tc>
              <w:tc>
                <w:tcPr>
                  <w:tcW w:w="1226" w:type="dxa"/>
                  <w:vMerge w:val="restart"/>
                  <w:vAlign w:val="center"/>
                </w:tcPr>
                <w:p>
                  <w:pPr>
                    <w:rPr>
                      <w:color w:val="auto"/>
                    </w:rPr>
                  </w:pPr>
                  <w:r>
                    <w:rPr>
                      <w:rFonts w:hint="eastAsia"/>
                      <w:color w:val="auto"/>
                    </w:rPr>
                    <w:t>低氮燃烧+</w:t>
                  </w:r>
                  <w:r>
                    <w:rPr>
                      <w:color w:val="auto"/>
                    </w:rPr>
                    <w:t>80</w:t>
                  </w:r>
                  <w:r>
                    <w:rPr>
                      <w:rFonts w:hint="eastAsia"/>
                      <w:color w:val="auto"/>
                    </w:rPr>
                    <w:t>m烟囱排放</w:t>
                  </w:r>
                </w:p>
              </w:tc>
              <w:tc>
                <w:tcPr>
                  <w:tcW w:w="1232" w:type="dxa"/>
                  <w:vAlign w:val="center"/>
                </w:tcPr>
                <w:p>
                  <w:pPr>
                    <w:jc w:val="center"/>
                    <w:rPr>
                      <w:color w:val="auto"/>
                    </w:rPr>
                  </w:pPr>
                  <w:r>
                    <w:rPr>
                      <w:rFonts w:hint="eastAsia"/>
                      <w:color w:val="auto"/>
                    </w:rPr>
                    <w:t>4.9</w:t>
                  </w:r>
                </w:p>
              </w:tc>
              <w:tc>
                <w:tcPr>
                  <w:tcW w:w="1065" w:type="dxa"/>
                  <w:vAlign w:val="center"/>
                </w:tcPr>
                <w:p>
                  <w:pPr>
                    <w:jc w:val="center"/>
                    <w:rPr>
                      <w:rFonts w:ascii="宋体" w:hAnsi="宋体" w:cs="宋体"/>
                      <w:color w:val="auto"/>
                    </w:rPr>
                  </w:pPr>
                  <w:r>
                    <w:rPr>
                      <w:rFonts w:hint="eastAsia"/>
                      <w:color w:val="auto"/>
                    </w:rPr>
                    <w:t>24.71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6" w:type="dxa"/>
                  <w:vMerge w:val="continue"/>
                  <w:vAlign w:val="center"/>
                </w:tcPr>
                <w:p>
                  <w:pPr>
                    <w:jc w:val="center"/>
                    <w:rPr>
                      <w:color w:val="auto"/>
                    </w:rPr>
                  </w:pPr>
                </w:p>
              </w:tc>
              <w:tc>
                <w:tcPr>
                  <w:tcW w:w="1135" w:type="dxa"/>
                  <w:vMerge w:val="continue"/>
                  <w:vAlign w:val="center"/>
                </w:tcPr>
                <w:p>
                  <w:pPr>
                    <w:rPr>
                      <w:color w:val="auto"/>
                    </w:rPr>
                  </w:pPr>
                </w:p>
              </w:tc>
              <w:tc>
                <w:tcPr>
                  <w:tcW w:w="1136" w:type="dxa"/>
                  <w:vAlign w:val="center"/>
                </w:tcPr>
                <w:p>
                  <w:pPr>
                    <w:jc w:val="center"/>
                    <w:rPr>
                      <w:color w:val="auto"/>
                    </w:rPr>
                  </w:pPr>
                  <w:r>
                    <w:rPr>
                      <w:rFonts w:hint="eastAsia"/>
                      <w:color w:val="auto"/>
                    </w:rPr>
                    <w:t>SO</w:t>
                  </w:r>
                  <w:r>
                    <w:rPr>
                      <w:rFonts w:hint="eastAsia"/>
                      <w:color w:val="auto"/>
                      <w:vertAlign w:val="subscript"/>
                    </w:rPr>
                    <w:t>2</w:t>
                  </w:r>
                </w:p>
              </w:tc>
              <w:tc>
                <w:tcPr>
                  <w:tcW w:w="1232" w:type="dxa"/>
                  <w:vAlign w:val="center"/>
                </w:tcPr>
                <w:p>
                  <w:pPr>
                    <w:jc w:val="center"/>
                    <w:rPr>
                      <w:color w:val="auto"/>
                    </w:rPr>
                  </w:pPr>
                  <w:r>
                    <w:rPr>
                      <w:rFonts w:hint="eastAsia"/>
                      <w:color w:val="auto"/>
                    </w:rPr>
                    <w:t>94.5</w:t>
                  </w:r>
                </w:p>
              </w:tc>
              <w:tc>
                <w:tcPr>
                  <w:tcW w:w="899" w:type="dxa"/>
                  <w:vAlign w:val="center"/>
                </w:tcPr>
                <w:p>
                  <w:pPr>
                    <w:jc w:val="center"/>
                    <w:rPr>
                      <w:rFonts w:ascii="宋体" w:hAnsi="宋体" w:cs="宋体"/>
                      <w:color w:val="auto"/>
                    </w:rPr>
                  </w:pPr>
                  <w:r>
                    <w:rPr>
                      <w:rFonts w:hint="eastAsia"/>
                      <w:color w:val="auto"/>
                    </w:rPr>
                    <w:t>477.18</w:t>
                  </w:r>
                </w:p>
              </w:tc>
              <w:tc>
                <w:tcPr>
                  <w:tcW w:w="1226" w:type="dxa"/>
                  <w:vMerge w:val="continue"/>
                  <w:vAlign w:val="center"/>
                </w:tcPr>
                <w:p>
                  <w:pPr>
                    <w:rPr>
                      <w:color w:val="auto"/>
                    </w:rPr>
                  </w:pPr>
                </w:p>
              </w:tc>
              <w:tc>
                <w:tcPr>
                  <w:tcW w:w="1232" w:type="dxa"/>
                  <w:vAlign w:val="center"/>
                </w:tcPr>
                <w:p>
                  <w:pPr>
                    <w:jc w:val="center"/>
                    <w:rPr>
                      <w:color w:val="auto"/>
                    </w:rPr>
                  </w:pPr>
                  <w:r>
                    <w:rPr>
                      <w:rFonts w:hint="eastAsia"/>
                      <w:color w:val="auto"/>
                    </w:rPr>
                    <w:t>94.5</w:t>
                  </w:r>
                </w:p>
              </w:tc>
              <w:tc>
                <w:tcPr>
                  <w:tcW w:w="1065" w:type="dxa"/>
                  <w:vAlign w:val="center"/>
                </w:tcPr>
                <w:p>
                  <w:pPr>
                    <w:jc w:val="center"/>
                    <w:rPr>
                      <w:rFonts w:ascii="宋体" w:hAnsi="宋体" w:cs="宋体"/>
                      <w:color w:val="auto"/>
                    </w:rPr>
                  </w:pPr>
                  <w:r>
                    <w:rPr>
                      <w:rFonts w:hint="eastAsia"/>
                      <w:color w:val="auto"/>
                    </w:rPr>
                    <w:t>477.18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6" w:type="dxa"/>
                  <w:vMerge w:val="continue"/>
                  <w:vAlign w:val="center"/>
                </w:tcPr>
                <w:p>
                  <w:pPr>
                    <w:jc w:val="center"/>
                    <w:rPr>
                      <w:color w:val="auto"/>
                    </w:rPr>
                  </w:pPr>
                </w:p>
              </w:tc>
              <w:tc>
                <w:tcPr>
                  <w:tcW w:w="1135" w:type="dxa"/>
                  <w:vMerge w:val="continue"/>
                  <w:vAlign w:val="center"/>
                </w:tcPr>
                <w:p>
                  <w:pPr>
                    <w:rPr>
                      <w:color w:val="auto"/>
                    </w:rPr>
                  </w:pPr>
                </w:p>
              </w:tc>
              <w:tc>
                <w:tcPr>
                  <w:tcW w:w="1136" w:type="dxa"/>
                  <w:vAlign w:val="center"/>
                </w:tcPr>
                <w:p>
                  <w:pPr>
                    <w:jc w:val="center"/>
                    <w:rPr>
                      <w:color w:val="auto"/>
                    </w:rPr>
                  </w:pPr>
                  <w:r>
                    <w:rPr>
                      <w:rFonts w:hint="eastAsia"/>
                      <w:color w:val="auto"/>
                    </w:rPr>
                    <w:t>NO</w:t>
                  </w:r>
                  <w:r>
                    <w:rPr>
                      <w:rFonts w:hint="eastAsia"/>
                      <w:color w:val="auto"/>
                      <w:vertAlign w:val="subscript"/>
                    </w:rPr>
                    <w:t>X</w:t>
                  </w:r>
                </w:p>
              </w:tc>
              <w:tc>
                <w:tcPr>
                  <w:tcW w:w="1232" w:type="dxa"/>
                  <w:vAlign w:val="center"/>
                </w:tcPr>
                <w:p>
                  <w:pPr>
                    <w:jc w:val="center"/>
                    <w:rPr>
                      <w:color w:val="auto"/>
                    </w:rPr>
                  </w:pPr>
                  <w:r>
                    <w:rPr>
                      <w:rFonts w:hint="eastAsia"/>
                      <w:color w:val="auto"/>
                    </w:rPr>
                    <w:t>79.8</w:t>
                  </w:r>
                </w:p>
              </w:tc>
              <w:tc>
                <w:tcPr>
                  <w:tcW w:w="899" w:type="dxa"/>
                  <w:vAlign w:val="center"/>
                </w:tcPr>
                <w:p>
                  <w:pPr>
                    <w:jc w:val="center"/>
                    <w:rPr>
                      <w:rFonts w:ascii="宋体" w:hAnsi="宋体" w:cs="宋体"/>
                      <w:color w:val="auto"/>
                    </w:rPr>
                  </w:pPr>
                  <w:r>
                    <w:rPr>
                      <w:rFonts w:hint="eastAsia"/>
                      <w:color w:val="auto"/>
                    </w:rPr>
                    <w:t>402.81</w:t>
                  </w:r>
                </w:p>
              </w:tc>
              <w:tc>
                <w:tcPr>
                  <w:tcW w:w="1226" w:type="dxa"/>
                  <w:vMerge w:val="continue"/>
                  <w:vAlign w:val="center"/>
                </w:tcPr>
                <w:p>
                  <w:pPr>
                    <w:rPr>
                      <w:color w:val="auto"/>
                    </w:rPr>
                  </w:pPr>
                </w:p>
              </w:tc>
              <w:tc>
                <w:tcPr>
                  <w:tcW w:w="1232" w:type="dxa"/>
                  <w:vAlign w:val="center"/>
                </w:tcPr>
                <w:p>
                  <w:pPr>
                    <w:jc w:val="center"/>
                    <w:rPr>
                      <w:color w:val="auto"/>
                    </w:rPr>
                  </w:pPr>
                  <w:r>
                    <w:rPr>
                      <w:rFonts w:hint="eastAsia"/>
                      <w:color w:val="auto"/>
                    </w:rPr>
                    <w:t>79.8</w:t>
                  </w:r>
                </w:p>
              </w:tc>
              <w:tc>
                <w:tcPr>
                  <w:tcW w:w="1065" w:type="dxa"/>
                  <w:vAlign w:val="center"/>
                </w:tcPr>
                <w:p>
                  <w:pPr>
                    <w:jc w:val="center"/>
                    <w:rPr>
                      <w:rFonts w:ascii="宋体" w:hAnsi="宋体" w:cs="宋体"/>
                      <w:color w:val="auto"/>
                    </w:rPr>
                  </w:pPr>
                  <w:r>
                    <w:rPr>
                      <w:rFonts w:hint="eastAsia"/>
                      <w:color w:val="auto"/>
                    </w:rPr>
                    <w:t>402.81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jc w:val="center"/>
              </w:trPr>
              <w:tc>
                <w:tcPr>
                  <w:tcW w:w="1136" w:type="dxa"/>
                  <w:vAlign w:val="center"/>
                </w:tcPr>
                <w:p>
                  <w:pPr>
                    <w:jc w:val="center"/>
                    <w:rPr>
                      <w:color w:val="auto"/>
                    </w:rPr>
                  </w:pPr>
                  <w:r>
                    <w:rPr>
                      <w:rFonts w:hint="eastAsia"/>
                      <w:color w:val="auto"/>
                    </w:rPr>
                    <w:t>废水</w:t>
                  </w:r>
                </w:p>
              </w:tc>
              <w:tc>
                <w:tcPr>
                  <w:tcW w:w="7925" w:type="dxa"/>
                  <w:gridSpan w:val="7"/>
                  <w:vAlign w:val="center"/>
                </w:tcPr>
                <w:p>
                  <w:pPr>
                    <w:rPr>
                      <w:color w:val="auto"/>
                    </w:rPr>
                  </w:pPr>
                  <w:r>
                    <w:rPr>
                      <w:rFonts w:hint="eastAsia"/>
                      <w:color w:val="auto"/>
                    </w:rPr>
                    <w:t>包括锅炉排污水、冷却循环系统排污水、化学水制备车间排污水以及生活污水等，排入陕西龙门钢铁（集团）有限责任公司污水处理站处理后综合利用，不外排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6" w:type="dxa"/>
                  <w:vAlign w:val="center"/>
                </w:tcPr>
                <w:p>
                  <w:pPr>
                    <w:jc w:val="center"/>
                    <w:rPr>
                      <w:color w:val="auto"/>
                    </w:rPr>
                  </w:pPr>
                  <w:r>
                    <w:rPr>
                      <w:rFonts w:hint="eastAsia"/>
                      <w:color w:val="auto"/>
                    </w:rPr>
                    <w:t>固废</w:t>
                  </w:r>
                </w:p>
              </w:tc>
              <w:tc>
                <w:tcPr>
                  <w:tcW w:w="2271" w:type="dxa"/>
                  <w:gridSpan w:val="2"/>
                  <w:vAlign w:val="center"/>
                </w:tcPr>
                <w:p>
                  <w:pPr>
                    <w:jc w:val="center"/>
                    <w:rPr>
                      <w:color w:val="auto"/>
                    </w:rPr>
                  </w:pPr>
                  <w:r>
                    <w:rPr>
                      <w:rFonts w:hint="eastAsia"/>
                      <w:color w:val="auto"/>
                    </w:rPr>
                    <w:t>生活垃圾</w:t>
                  </w:r>
                </w:p>
              </w:tc>
              <w:tc>
                <w:tcPr>
                  <w:tcW w:w="1232" w:type="dxa"/>
                  <w:vAlign w:val="center"/>
                </w:tcPr>
                <w:p>
                  <w:pPr>
                    <w:jc w:val="center"/>
                    <w:rPr>
                      <w:color w:val="auto"/>
                    </w:rPr>
                  </w:pPr>
                  <w:r>
                    <w:rPr>
                      <w:rFonts w:hint="eastAsia"/>
                      <w:color w:val="auto"/>
                    </w:rPr>
                    <w:t>/</w:t>
                  </w:r>
                </w:p>
              </w:tc>
              <w:tc>
                <w:tcPr>
                  <w:tcW w:w="899" w:type="dxa"/>
                  <w:vAlign w:val="center"/>
                </w:tcPr>
                <w:p>
                  <w:pPr>
                    <w:jc w:val="center"/>
                    <w:rPr>
                      <w:color w:val="auto"/>
                    </w:rPr>
                  </w:pPr>
                  <w:r>
                    <w:rPr>
                      <w:rFonts w:hint="eastAsia"/>
                      <w:color w:val="auto"/>
                    </w:rPr>
                    <w:t>1</w:t>
                  </w:r>
                  <w:r>
                    <w:rPr>
                      <w:color w:val="auto"/>
                    </w:rPr>
                    <w:t>5.66</w:t>
                  </w:r>
                </w:p>
              </w:tc>
              <w:tc>
                <w:tcPr>
                  <w:tcW w:w="1226" w:type="dxa"/>
                  <w:vAlign w:val="center"/>
                </w:tcPr>
                <w:p>
                  <w:pPr>
                    <w:rPr>
                      <w:color w:val="auto"/>
                    </w:rPr>
                  </w:pPr>
                  <w:r>
                    <w:rPr>
                      <w:color w:val="auto"/>
                    </w:rPr>
                    <w:t>由陕西龙门钢铁（</w:t>
                  </w:r>
                  <w:r>
                    <w:rPr>
                      <w:rFonts w:hint="eastAsia"/>
                      <w:color w:val="auto"/>
                    </w:rPr>
                    <w:t>集团</w:t>
                  </w:r>
                  <w:r>
                    <w:rPr>
                      <w:color w:val="auto"/>
                    </w:rPr>
                    <w:t>）</w:t>
                  </w:r>
                  <w:r>
                    <w:rPr>
                      <w:rFonts w:hint="eastAsia"/>
                      <w:color w:val="auto"/>
                    </w:rPr>
                    <w:t>有限责任公司定期统一收集交环卫部门处置</w:t>
                  </w:r>
                </w:p>
              </w:tc>
              <w:tc>
                <w:tcPr>
                  <w:tcW w:w="1232" w:type="dxa"/>
                  <w:vAlign w:val="center"/>
                </w:tcPr>
                <w:p>
                  <w:pPr>
                    <w:jc w:val="center"/>
                    <w:rPr>
                      <w:color w:val="auto"/>
                    </w:rPr>
                  </w:pPr>
                  <w:r>
                    <w:rPr>
                      <w:rFonts w:hint="eastAsia"/>
                      <w:color w:val="auto"/>
                    </w:rPr>
                    <w:t>/</w:t>
                  </w:r>
                </w:p>
              </w:tc>
              <w:tc>
                <w:tcPr>
                  <w:tcW w:w="1065" w:type="dxa"/>
                  <w:vAlign w:val="center"/>
                </w:tcPr>
                <w:p>
                  <w:pPr>
                    <w:jc w:val="center"/>
                    <w:rPr>
                      <w:color w:val="auto"/>
                    </w:rPr>
                  </w:pPr>
                  <w:r>
                    <w:rPr>
                      <w:rFonts w:hint="eastAsia"/>
                      <w:color w:val="auto"/>
                    </w:rPr>
                    <w:t>1</w:t>
                  </w:r>
                  <w:r>
                    <w:rPr>
                      <w:color w:val="auto"/>
                    </w:rPr>
                    <w:t>5.66</w:t>
                  </w:r>
                </w:p>
              </w:tc>
            </w:tr>
          </w:tbl>
          <w:p>
            <w:pPr>
              <w:spacing w:line="360" w:lineRule="auto"/>
              <w:ind w:firstLine="482" w:firstLineChars="200"/>
              <w:rPr>
                <w:b/>
                <w:color w:val="auto"/>
                <w:sz w:val="24"/>
                <w:szCs w:val="20"/>
              </w:rPr>
            </w:pPr>
            <w:r>
              <w:rPr>
                <w:rFonts w:hint="eastAsia"/>
                <w:b/>
                <w:color w:val="auto"/>
                <w:sz w:val="24"/>
                <w:szCs w:val="20"/>
              </w:rPr>
              <w:t>三、现有工程存在的主要环境问题及改进措施</w:t>
            </w:r>
          </w:p>
          <w:p>
            <w:pPr>
              <w:spacing w:line="360" w:lineRule="auto"/>
              <w:ind w:firstLine="480" w:firstLineChars="200"/>
              <w:rPr>
                <w:color w:val="auto"/>
                <w:sz w:val="24"/>
                <w:szCs w:val="20"/>
              </w:rPr>
            </w:pPr>
            <w:r>
              <w:rPr>
                <w:rFonts w:hint="eastAsia"/>
                <w:color w:val="auto"/>
                <w:sz w:val="24"/>
                <w:szCs w:val="20"/>
              </w:rPr>
              <w:t>1、现有工程存在的主要环境问题</w:t>
            </w:r>
          </w:p>
          <w:p>
            <w:pPr>
              <w:spacing w:line="360" w:lineRule="auto"/>
              <w:ind w:firstLine="480" w:firstLineChars="200"/>
              <w:rPr>
                <w:color w:val="auto"/>
                <w:sz w:val="24"/>
                <w:szCs w:val="20"/>
              </w:rPr>
            </w:pPr>
            <w:r>
              <w:rPr>
                <w:rFonts w:hint="eastAsia"/>
                <w:color w:val="auto"/>
                <w:sz w:val="24"/>
                <w:szCs w:val="20"/>
              </w:rPr>
              <w:t>根据陕西省环境监测中心站2015年9月29日对现有工程进行的监督性监测报告（陕环监字[2015]第044号），现有工程锅炉烟气SO</w:t>
            </w:r>
            <w:r>
              <w:rPr>
                <w:rFonts w:hint="eastAsia"/>
                <w:color w:val="auto"/>
                <w:sz w:val="24"/>
                <w:szCs w:val="20"/>
                <w:vertAlign w:val="subscript"/>
              </w:rPr>
              <w:t>2</w:t>
            </w:r>
            <w:r>
              <w:rPr>
                <w:rFonts w:hint="eastAsia"/>
                <w:color w:val="auto"/>
                <w:sz w:val="24"/>
                <w:szCs w:val="20"/>
              </w:rPr>
              <w:t>排放浓度为61~100mg/m</w:t>
            </w:r>
            <w:r>
              <w:rPr>
                <w:rFonts w:hint="eastAsia"/>
                <w:color w:val="auto"/>
                <w:sz w:val="24"/>
                <w:szCs w:val="20"/>
                <w:vertAlign w:val="superscript"/>
              </w:rPr>
              <w:t>3</w:t>
            </w:r>
            <w:r>
              <w:rPr>
                <w:rFonts w:hint="eastAsia"/>
                <w:color w:val="auto"/>
                <w:sz w:val="24"/>
                <w:szCs w:val="20"/>
              </w:rPr>
              <w:t>，S</w:t>
            </w:r>
            <w:r>
              <w:rPr>
                <w:color w:val="auto"/>
                <w:sz w:val="24"/>
                <w:szCs w:val="20"/>
              </w:rPr>
              <w:t>O</w:t>
            </w:r>
            <w:r>
              <w:rPr>
                <w:color w:val="auto"/>
                <w:sz w:val="24"/>
                <w:szCs w:val="20"/>
                <w:vertAlign w:val="subscript"/>
              </w:rPr>
              <w:t>2</w:t>
            </w:r>
            <w:r>
              <w:rPr>
                <w:rFonts w:hint="eastAsia"/>
                <w:color w:val="auto"/>
                <w:sz w:val="24"/>
                <w:szCs w:val="20"/>
              </w:rPr>
              <w:t>排放浓度无法满足</w:t>
            </w:r>
            <w:r>
              <w:rPr>
                <w:rFonts w:hint="eastAsia"/>
                <w:color w:val="auto"/>
                <w:sz w:val="24"/>
                <w:szCs w:val="24"/>
              </w:rPr>
              <w:t>《关中地区重点行业大气污染物排放限值》（D</w:t>
            </w:r>
            <w:r>
              <w:rPr>
                <w:color w:val="auto"/>
                <w:sz w:val="24"/>
                <w:szCs w:val="24"/>
              </w:rPr>
              <w:t>B61/914-2014</w:t>
            </w:r>
            <w:r>
              <w:rPr>
                <w:rFonts w:hint="eastAsia"/>
                <w:color w:val="auto"/>
                <w:sz w:val="24"/>
                <w:szCs w:val="24"/>
              </w:rPr>
              <w:t>）表1燃气锅炉</w:t>
            </w:r>
            <w:r>
              <w:rPr>
                <w:rFonts w:hint="eastAsia"/>
                <w:color w:val="auto"/>
                <w:sz w:val="24"/>
                <w:szCs w:val="20"/>
              </w:rPr>
              <w:t>S</w:t>
            </w:r>
            <w:r>
              <w:rPr>
                <w:color w:val="auto"/>
                <w:sz w:val="24"/>
                <w:szCs w:val="20"/>
              </w:rPr>
              <w:t>O</w:t>
            </w:r>
            <w:r>
              <w:rPr>
                <w:color w:val="auto"/>
                <w:sz w:val="24"/>
                <w:szCs w:val="20"/>
                <w:vertAlign w:val="subscript"/>
              </w:rPr>
              <w:t>2</w:t>
            </w:r>
            <w:r>
              <w:rPr>
                <w:rFonts w:hint="eastAsia"/>
                <w:color w:val="auto"/>
                <w:sz w:val="24"/>
                <w:szCs w:val="24"/>
              </w:rPr>
              <w:t>≤35mg</w:t>
            </w:r>
            <w:r>
              <w:rPr>
                <w:color w:val="auto"/>
                <w:sz w:val="24"/>
                <w:szCs w:val="24"/>
              </w:rPr>
              <w:t>/</w:t>
            </w:r>
            <w:r>
              <w:rPr>
                <w:rFonts w:hint="eastAsia"/>
                <w:color w:val="auto"/>
                <w:sz w:val="24"/>
                <w:szCs w:val="24"/>
              </w:rPr>
              <w:t>m</w:t>
            </w:r>
            <w:r>
              <w:rPr>
                <w:color w:val="auto"/>
                <w:sz w:val="24"/>
                <w:szCs w:val="24"/>
                <w:vertAlign w:val="superscript"/>
              </w:rPr>
              <w:t>3</w:t>
            </w:r>
            <w:r>
              <w:rPr>
                <w:rFonts w:hint="eastAsia"/>
                <w:color w:val="auto"/>
                <w:sz w:val="24"/>
                <w:szCs w:val="24"/>
              </w:rPr>
              <w:t>的排放限值要求。</w:t>
            </w:r>
          </w:p>
          <w:p>
            <w:pPr>
              <w:spacing w:line="360" w:lineRule="auto"/>
              <w:ind w:firstLine="480" w:firstLineChars="200"/>
              <w:rPr>
                <w:color w:val="auto"/>
                <w:sz w:val="24"/>
                <w:szCs w:val="20"/>
              </w:rPr>
            </w:pPr>
            <w:r>
              <w:rPr>
                <w:color w:val="auto"/>
                <w:sz w:val="24"/>
                <w:szCs w:val="20"/>
              </w:rPr>
              <w:t>2</w:t>
            </w:r>
            <w:r>
              <w:rPr>
                <w:rFonts w:hint="eastAsia"/>
                <w:color w:val="auto"/>
                <w:sz w:val="24"/>
                <w:szCs w:val="20"/>
              </w:rPr>
              <w:t>、改进措施</w:t>
            </w:r>
          </w:p>
          <w:p>
            <w:pPr>
              <w:spacing w:line="360" w:lineRule="auto"/>
              <w:ind w:firstLine="480" w:firstLineChars="200"/>
              <w:rPr>
                <w:color w:val="auto"/>
                <w:sz w:val="24"/>
                <w:szCs w:val="20"/>
              </w:rPr>
            </w:pPr>
            <w:r>
              <w:rPr>
                <w:color w:val="auto"/>
                <w:sz w:val="24"/>
                <w:szCs w:val="20"/>
              </w:rPr>
              <w:fldChar w:fldCharType="begin"/>
            </w:r>
            <w:r>
              <w:rPr>
                <w:color w:val="auto"/>
                <w:sz w:val="24"/>
                <w:szCs w:val="20"/>
              </w:rPr>
              <w:instrText xml:space="preserve"> </w:instrText>
            </w:r>
            <w:r>
              <w:rPr>
                <w:rFonts w:hint="eastAsia"/>
                <w:color w:val="auto"/>
                <w:sz w:val="24"/>
                <w:szCs w:val="20"/>
              </w:rPr>
              <w:instrText xml:space="preserve">= 1 \* GB2</w:instrText>
            </w:r>
            <w:r>
              <w:rPr>
                <w:color w:val="auto"/>
                <w:sz w:val="24"/>
                <w:szCs w:val="20"/>
              </w:rPr>
              <w:instrText xml:space="preserve"> </w:instrText>
            </w:r>
            <w:r>
              <w:rPr>
                <w:color w:val="auto"/>
                <w:sz w:val="24"/>
                <w:szCs w:val="20"/>
              </w:rPr>
              <w:fldChar w:fldCharType="separate"/>
            </w:r>
            <w:r>
              <w:rPr>
                <w:rFonts w:hint="eastAsia"/>
                <w:color w:val="auto"/>
                <w:sz w:val="24"/>
                <w:szCs w:val="20"/>
              </w:rPr>
              <w:t>⑴</w:t>
            </w:r>
            <w:r>
              <w:rPr>
                <w:color w:val="auto"/>
                <w:sz w:val="24"/>
                <w:szCs w:val="20"/>
              </w:rPr>
              <w:fldChar w:fldCharType="end"/>
            </w:r>
            <w:r>
              <w:rPr>
                <w:rFonts w:hint="eastAsia"/>
                <w:color w:val="auto"/>
                <w:sz w:val="24"/>
                <w:szCs w:val="20"/>
              </w:rPr>
              <w:t xml:space="preserve"> 现有五台燃气锅炉新增锅炉烟气脱硫除尘系统3套，烟气经氨法脱硫+布袋除尘器处理后经8</w:t>
            </w:r>
            <w:r>
              <w:rPr>
                <w:color w:val="auto"/>
                <w:sz w:val="24"/>
                <w:szCs w:val="20"/>
              </w:rPr>
              <w:t>0</w:t>
            </w:r>
            <w:r>
              <w:rPr>
                <w:rFonts w:hint="eastAsia"/>
                <w:color w:val="auto"/>
                <w:sz w:val="24"/>
                <w:szCs w:val="20"/>
              </w:rPr>
              <w:t>m高烟囱排放；</w:t>
            </w:r>
          </w:p>
          <w:p>
            <w:pPr>
              <w:spacing w:line="360" w:lineRule="auto"/>
              <w:ind w:firstLine="480" w:firstLineChars="200"/>
              <w:rPr>
                <w:color w:val="auto"/>
                <w:sz w:val="24"/>
                <w:szCs w:val="20"/>
              </w:rPr>
            </w:pPr>
            <w:r>
              <w:rPr>
                <w:color w:val="auto"/>
                <w:sz w:val="24"/>
                <w:szCs w:val="20"/>
              </w:rPr>
              <w:fldChar w:fldCharType="begin"/>
            </w:r>
            <w:r>
              <w:rPr>
                <w:color w:val="auto"/>
                <w:sz w:val="24"/>
                <w:szCs w:val="20"/>
              </w:rPr>
              <w:instrText xml:space="preserve"> </w:instrText>
            </w:r>
            <w:r>
              <w:rPr>
                <w:rFonts w:hint="eastAsia"/>
                <w:color w:val="auto"/>
                <w:sz w:val="24"/>
                <w:szCs w:val="20"/>
              </w:rPr>
              <w:instrText xml:space="preserve">= 2 \* GB2</w:instrText>
            </w:r>
            <w:r>
              <w:rPr>
                <w:color w:val="auto"/>
                <w:sz w:val="24"/>
                <w:szCs w:val="20"/>
              </w:rPr>
              <w:instrText xml:space="preserve"> </w:instrText>
            </w:r>
            <w:r>
              <w:rPr>
                <w:color w:val="auto"/>
                <w:sz w:val="24"/>
                <w:szCs w:val="20"/>
              </w:rPr>
              <w:fldChar w:fldCharType="separate"/>
            </w:r>
            <w:r>
              <w:rPr>
                <w:rFonts w:hint="eastAsia"/>
                <w:color w:val="auto"/>
                <w:sz w:val="24"/>
                <w:szCs w:val="20"/>
              </w:rPr>
              <w:t>⑵</w:t>
            </w:r>
            <w:r>
              <w:rPr>
                <w:color w:val="auto"/>
                <w:sz w:val="24"/>
                <w:szCs w:val="20"/>
              </w:rPr>
              <w:fldChar w:fldCharType="end"/>
            </w:r>
            <w:r>
              <w:rPr>
                <w:rFonts w:hint="eastAsia"/>
                <w:color w:val="auto"/>
                <w:sz w:val="24"/>
                <w:szCs w:val="20"/>
              </w:rPr>
              <w:t xml:space="preserve"> </w:t>
            </w:r>
            <w:r>
              <w:rPr>
                <w:color w:val="auto"/>
                <w:sz w:val="24"/>
                <w:szCs w:val="20"/>
              </w:rPr>
              <w:t>3</w:t>
            </w:r>
            <w:r>
              <w:rPr>
                <w:rFonts w:hint="eastAsia"/>
                <w:color w:val="auto"/>
                <w:sz w:val="24"/>
                <w:szCs w:val="20"/>
              </w:rPr>
              <w:t>根烟囱排放口各安装锅炉烟气在线监测系统1套并与环保部门联网。</w:t>
            </w:r>
          </w:p>
        </w:tc>
      </w:tr>
    </w:tbl>
    <w:p>
      <w:pPr>
        <w:outlineLvl w:val="0"/>
        <w:rPr>
          <w:rFonts w:eastAsia="黑体"/>
          <w:color w:val="auto"/>
          <w:sz w:val="30"/>
          <w:szCs w:val="30"/>
        </w:rPr>
        <w:sectPr>
          <w:footerReference r:id="rId3" w:type="default"/>
          <w:pgSz w:w="11906" w:h="16838"/>
          <w:pgMar w:top="1588" w:right="1134" w:bottom="1361" w:left="1701" w:header="851" w:footer="907" w:gutter="0"/>
          <w:cols w:space="425" w:num="1"/>
          <w:docGrid w:type="lines" w:linePitch="312" w:charSpace="0"/>
        </w:sectPr>
      </w:pPr>
    </w:p>
    <w:p>
      <w:pPr>
        <w:outlineLvl w:val="0"/>
        <w:rPr>
          <w:rFonts w:eastAsia="黑体"/>
          <w:color w:val="auto"/>
          <w:sz w:val="30"/>
          <w:szCs w:val="30"/>
        </w:rPr>
      </w:pPr>
      <w:r>
        <w:rPr>
          <w:rFonts w:eastAsia="黑体"/>
          <w:color w:val="auto"/>
          <w:sz w:val="30"/>
          <w:szCs w:val="30"/>
        </w:rPr>
        <w:t>建设项目所在地自然环境社会环境简况</w:t>
      </w:r>
    </w:p>
    <w:tbl>
      <w:tblPr>
        <w:tblStyle w:val="26"/>
        <w:tblW w:w="913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13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9138" w:type="dxa"/>
          </w:tcPr>
          <w:p>
            <w:pPr>
              <w:pStyle w:val="9"/>
              <w:spacing w:before="156" w:beforeLines="50" w:after="156" w:afterLines="50"/>
              <w:rPr>
                <w:color w:val="auto"/>
              </w:rPr>
            </w:pPr>
            <w:r>
              <w:rPr>
                <w:color w:val="auto"/>
              </w:rPr>
              <w:t>自然环境简况（地形、地貌、地质、气候、气象、水文、植被、生物多样性等）：</w:t>
            </w:r>
          </w:p>
          <w:p>
            <w:pPr>
              <w:spacing w:line="360" w:lineRule="auto"/>
              <w:ind w:firstLine="482" w:firstLineChars="200"/>
              <w:rPr>
                <w:b/>
                <w:bCs/>
                <w:color w:val="auto"/>
                <w:sz w:val="24"/>
                <w:szCs w:val="24"/>
              </w:rPr>
            </w:pPr>
            <w:r>
              <w:rPr>
                <w:rFonts w:hint="eastAsia"/>
                <w:b/>
                <w:bCs/>
                <w:color w:val="auto"/>
                <w:sz w:val="24"/>
                <w:szCs w:val="24"/>
              </w:rPr>
              <w:t>1、</w:t>
            </w:r>
            <w:r>
              <w:rPr>
                <w:b/>
                <w:bCs/>
                <w:color w:val="auto"/>
                <w:sz w:val="24"/>
                <w:szCs w:val="24"/>
              </w:rPr>
              <w:t>地理位置</w:t>
            </w:r>
          </w:p>
          <w:p>
            <w:pPr>
              <w:spacing w:line="360" w:lineRule="auto"/>
              <w:ind w:firstLine="480" w:firstLineChars="20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项目位于</w:t>
            </w:r>
            <w:r>
              <w:rPr>
                <w:rFonts w:hint="eastAsia" w:asciiTheme="minorEastAsia" w:hAnsiTheme="minorEastAsia" w:eastAsiaTheme="minorEastAsia" w:cstheme="minorEastAsia"/>
                <w:color w:val="auto"/>
                <w:sz w:val="24"/>
              </w:rPr>
              <w:t>韩城市龙门镇冶金工业区内</w:t>
            </w:r>
            <w:r>
              <w:rPr>
                <w:rFonts w:hint="eastAsia" w:asciiTheme="minorEastAsia" w:hAnsiTheme="minorEastAsia" w:eastAsiaTheme="minorEastAsia" w:cstheme="minorEastAsia"/>
                <w:color w:val="auto"/>
                <w:sz w:val="24"/>
                <w:szCs w:val="24"/>
              </w:rPr>
              <w:t>，具体见附图1地理位置图。</w:t>
            </w:r>
          </w:p>
          <w:p>
            <w:pPr>
              <w:spacing w:line="360" w:lineRule="auto"/>
              <w:ind w:firstLine="480" w:firstLine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韩城市位于关中平原东北隅，陕西省东部，黄河西岸。距省会西安210余公里，北依宜川，西邻黄龙，南接合阳，东隔黄河与山西省河津、乡宁、万荣等县市相望。地处北纬35°18′50--35°52′08″，东经110°7′19″--110°37′24″。南北最长处50.2公里，东西最宽处42.5公里。边界总长168公里。总面积1621平方公里。龙门镇隶属于陕西省韩城市，位于</w:t>
            </w:r>
            <w:r>
              <w:rPr>
                <w:color w:val="auto"/>
              </w:rPr>
              <w:fldChar w:fldCharType="begin"/>
            </w:r>
            <w:r>
              <w:rPr>
                <w:color w:val="auto"/>
              </w:rPr>
              <w:instrText xml:space="preserve"> HYPERLINK "https://baike.baidu.com/item/%E9%9F%A9%E5%9F%8E%E5%B8%82" \t "_blank" </w:instrText>
            </w:r>
            <w:r>
              <w:rPr>
                <w:color w:val="auto"/>
              </w:rPr>
              <w:fldChar w:fldCharType="separate"/>
            </w:r>
            <w:r>
              <w:rPr>
                <w:rFonts w:hint="eastAsia" w:asciiTheme="minorEastAsia" w:hAnsiTheme="minorEastAsia" w:eastAsiaTheme="minorEastAsia" w:cstheme="minorEastAsia"/>
                <w:color w:val="auto"/>
                <w:sz w:val="24"/>
              </w:rPr>
              <w:t>韩城市</w:t>
            </w:r>
            <w:r>
              <w:rPr>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color w:val="auto"/>
                <w:sz w:val="24"/>
              </w:rPr>
              <w:t>东北23公里，总面积68平方公里，总人口7.6万，下辖19个村委会，37个自然村，89个</w:t>
            </w:r>
            <w:r>
              <w:rPr>
                <w:color w:val="auto"/>
              </w:rPr>
              <w:fldChar w:fldCharType="begin"/>
            </w:r>
            <w:r>
              <w:rPr>
                <w:color w:val="auto"/>
              </w:rPr>
              <w:instrText xml:space="preserve"> HYPERLINK "https://baike.baidu.com/item/%E6%9D%91%E6%B0%91%E5%B0%8F%E7%BB%84" \t "_blank" </w:instrText>
            </w:r>
            <w:r>
              <w:rPr>
                <w:color w:val="auto"/>
              </w:rPr>
              <w:fldChar w:fldCharType="separate"/>
            </w:r>
            <w:r>
              <w:rPr>
                <w:rFonts w:hint="eastAsia" w:asciiTheme="minorEastAsia" w:hAnsiTheme="minorEastAsia" w:eastAsiaTheme="minorEastAsia" w:cstheme="minorEastAsia"/>
                <w:color w:val="auto"/>
                <w:sz w:val="24"/>
              </w:rPr>
              <w:t>村民小组</w:t>
            </w:r>
            <w:r>
              <w:rPr>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color w:val="auto"/>
                <w:sz w:val="24"/>
              </w:rPr>
              <w:t>，5个社区居委会。镇区</w:t>
            </w:r>
            <w:r>
              <w:rPr>
                <w:color w:val="auto"/>
              </w:rPr>
              <w:fldChar w:fldCharType="begin"/>
            </w:r>
            <w:r>
              <w:rPr>
                <w:color w:val="auto"/>
              </w:rPr>
              <w:instrText xml:space="preserve"> HYPERLINK "https://baike.baidu.com/item/%E6%80%BB%E4%BD%93%E8%A7%84%E5%88%92" \t "_blank" </w:instrText>
            </w:r>
            <w:r>
              <w:rPr>
                <w:color w:val="auto"/>
              </w:rPr>
              <w:fldChar w:fldCharType="separate"/>
            </w:r>
            <w:r>
              <w:rPr>
                <w:rFonts w:hint="eastAsia" w:asciiTheme="minorEastAsia" w:hAnsiTheme="minorEastAsia" w:eastAsiaTheme="minorEastAsia" w:cstheme="minorEastAsia"/>
                <w:color w:val="auto"/>
                <w:sz w:val="24"/>
              </w:rPr>
              <w:t>总体规划</w:t>
            </w:r>
            <w:r>
              <w:rPr>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color w:val="auto"/>
                <w:sz w:val="24"/>
              </w:rPr>
              <w:t>面积5.95平方公里，</w:t>
            </w:r>
            <w:r>
              <w:rPr>
                <w:color w:val="auto"/>
              </w:rPr>
              <w:fldChar w:fldCharType="begin"/>
            </w:r>
            <w:r>
              <w:rPr>
                <w:color w:val="auto"/>
              </w:rPr>
              <w:instrText xml:space="preserve"> HYPERLINK "https://baike.baidu.com/item/%E5%BB%BA%E6%88%90%E5%8C%BA%E9%9D%A2%E7%A7%AF" \t "_blank" </w:instrText>
            </w:r>
            <w:r>
              <w:rPr>
                <w:color w:val="auto"/>
              </w:rPr>
              <w:fldChar w:fldCharType="separate"/>
            </w:r>
            <w:r>
              <w:rPr>
                <w:rFonts w:hint="eastAsia" w:asciiTheme="minorEastAsia" w:hAnsiTheme="minorEastAsia" w:eastAsiaTheme="minorEastAsia" w:cstheme="minorEastAsia"/>
                <w:color w:val="auto"/>
                <w:sz w:val="24"/>
              </w:rPr>
              <w:t>建成区面积</w:t>
            </w:r>
            <w:r>
              <w:rPr>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color w:val="auto"/>
                <w:sz w:val="24"/>
              </w:rPr>
              <w:t>3.2平方公里。龙门镇东临</w:t>
            </w:r>
            <w:r>
              <w:rPr>
                <w:color w:val="auto"/>
              </w:rPr>
              <w:fldChar w:fldCharType="begin"/>
            </w:r>
            <w:r>
              <w:rPr>
                <w:color w:val="auto"/>
              </w:rPr>
              <w:instrText xml:space="preserve"> HYPERLINK "https://baike.baidu.com/item/%E9%BB%84%E6%B2%B3" \t "_blank" </w:instrText>
            </w:r>
            <w:r>
              <w:rPr>
                <w:color w:val="auto"/>
              </w:rPr>
              <w:fldChar w:fldCharType="separate"/>
            </w:r>
            <w:r>
              <w:rPr>
                <w:rFonts w:hint="eastAsia" w:asciiTheme="minorEastAsia" w:hAnsiTheme="minorEastAsia" w:eastAsiaTheme="minorEastAsia" w:cstheme="minorEastAsia"/>
                <w:color w:val="auto"/>
                <w:sz w:val="24"/>
              </w:rPr>
              <w:t>黄河</w:t>
            </w:r>
            <w:r>
              <w:rPr>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color w:val="auto"/>
                <w:sz w:val="24"/>
              </w:rPr>
              <w:t>，西依梁山，向来为韩城市的工业重镇，并长期荣居陕西镇域经济榜首，是陕西名副其实的经济第一强镇。矿产资源丰富，镇内的龙门</w:t>
            </w:r>
            <w:r>
              <w:rPr>
                <w:color w:val="auto"/>
              </w:rPr>
              <w:fldChar w:fldCharType="begin"/>
            </w:r>
            <w:r>
              <w:rPr>
                <w:color w:val="auto"/>
              </w:rPr>
              <w:instrText xml:space="preserve"> HYPERLINK "https://baike.baidu.com/item/%E5%86%B6%E9%87%91%E5%B7%A5%E4%B8%9A%E5%9B%AD" \t "_blank" </w:instrText>
            </w:r>
            <w:r>
              <w:rPr>
                <w:color w:val="auto"/>
              </w:rPr>
              <w:fldChar w:fldCharType="separate"/>
            </w:r>
            <w:r>
              <w:rPr>
                <w:rFonts w:hint="eastAsia" w:asciiTheme="minorEastAsia" w:hAnsiTheme="minorEastAsia" w:eastAsiaTheme="minorEastAsia" w:cstheme="minorEastAsia"/>
                <w:color w:val="auto"/>
                <w:sz w:val="24"/>
              </w:rPr>
              <w:t>冶金工业园</w:t>
            </w:r>
            <w:r>
              <w:rPr>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color w:val="auto"/>
                <w:sz w:val="24"/>
              </w:rPr>
              <w:t>被确定为陕西省“循环经济示范点”和我国西部首家生态工业园，也是我国西部最大的焦炭生产基地和西北三大钢铁基地之一。</w:t>
            </w:r>
          </w:p>
          <w:p>
            <w:pPr>
              <w:spacing w:line="360" w:lineRule="auto"/>
              <w:ind w:firstLine="482" w:firstLineChars="200"/>
              <w:rPr>
                <w:rFonts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2、地形地貌</w:t>
            </w:r>
          </w:p>
          <w:p>
            <w:pPr>
              <w:pStyle w:val="76"/>
              <w:spacing w:line="360" w:lineRule="auto"/>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韩城位于祁吕贺山字形构造的前弧东翼与新华夏构造体系第三沉降带的复合部位。以东北～西南向的山前大断裂（即韩城大断层）为界，东南面属渭汾地堑，西北</w:t>
            </w:r>
            <w:r>
              <w:rPr>
                <w:rFonts w:hint="eastAsia" w:asciiTheme="minorEastAsia" w:hAnsiTheme="minorEastAsia" w:eastAsiaTheme="minorEastAsia" w:cstheme="minorEastAsia"/>
                <w:color w:val="auto"/>
                <w:szCs w:val="24"/>
              </w:rPr>
              <w:t>面属</w:t>
            </w: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"http://baike.baidu.com/item/%E9%84%82%E5%B0%94%E5%A4%9A%E6%96%AF" \t "http://baike.baidu.com/_blank" </w:instrText>
            </w:r>
            <w:r>
              <w:rPr>
                <w:rFonts w:hint="eastAsia" w:asciiTheme="minorEastAsia" w:hAnsiTheme="minorEastAsia" w:eastAsiaTheme="minorEastAsia" w:cstheme="minorEastAsia"/>
                <w:color w:val="auto"/>
                <w:szCs w:val="24"/>
              </w:rPr>
              <w:fldChar w:fldCharType="separate"/>
            </w:r>
            <w:r>
              <w:rPr>
                <w:rFonts w:hint="eastAsia" w:asciiTheme="minorEastAsia" w:hAnsiTheme="minorEastAsia" w:eastAsiaTheme="minorEastAsia" w:cstheme="minorEastAsia"/>
                <w:color w:val="auto"/>
                <w:szCs w:val="24"/>
              </w:rPr>
              <w:t>鄂尔多斯</w:t>
            </w:r>
            <w:r>
              <w:rPr>
                <w:rFonts w:hint="eastAsia" w:asciiTheme="minorEastAsia" w:hAnsiTheme="minorEastAsia" w:eastAsiaTheme="minorEastAsia" w:cstheme="minorEastAsia"/>
                <w:color w:val="auto"/>
                <w:szCs w:val="24"/>
              </w:rPr>
              <w:fldChar w:fldCharType="end"/>
            </w:r>
            <w:r>
              <w:rPr>
                <w:rFonts w:hint="eastAsia" w:asciiTheme="minorEastAsia" w:hAnsiTheme="minorEastAsia" w:eastAsiaTheme="minorEastAsia" w:cstheme="minorEastAsia"/>
                <w:color w:val="auto"/>
                <w:szCs w:val="24"/>
              </w:rPr>
              <w:t>台向斜的陕北盆缘</w:t>
            </w:r>
            <w:r>
              <w:rPr>
                <w:rFonts w:hint="eastAsia" w:asciiTheme="minorEastAsia" w:hAnsiTheme="minorEastAsia" w:eastAsiaTheme="minorEastAsia" w:cstheme="minorEastAsia"/>
                <w:color w:val="auto"/>
              </w:rPr>
              <w:t>褶皱区。构造复杂，矿产丰富，存在着发生中强以上地震的条件。</w:t>
            </w:r>
          </w:p>
          <w:p>
            <w:pPr>
              <w:pStyle w:val="76"/>
              <w:spacing w:line="360" w:lineRule="auto"/>
              <w:ind w:firstLine="48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韩城地势西北高，东南低。西部深山多为梁状山岭，一般海拔900米以上，韩（城）黄（龙）分界处的大岭海拔1783米，为本市全境最高点。中部浅山区多为黄土丘陵，海拔600～900米。东部黄土台原，一般海拔400～600米，澽水下游川道和黄河滩地，多在海拔400米以下。</w:t>
            </w:r>
          </w:p>
          <w:p>
            <w:pPr>
              <w:spacing w:line="360" w:lineRule="auto"/>
              <w:ind w:firstLine="482" w:firstLineChars="200"/>
              <w:rPr>
                <w:rFonts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3、水文地质</w:t>
            </w:r>
          </w:p>
          <w:p>
            <w:pPr>
              <w:pStyle w:val="67"/>
              <w:numPr>
                <w:ilvl w:val="0"/>
                <w:numId w:val="1"/>
              </w:numPr>
              <w:spacing w:line="360" w:lineRule="auto"/>
              <w:ind w:firstLineChars="0"/>
              <w:rPr>
                <w:color w:val="auto"/>
                <w:sz w:val="24"/>
                <w:szCs w:val="24"/>
              </w:rPr>
            </w:pPr>
            <w:r>
              <w:rPr>
                <w:color w:val="auto"/>
                <w:sz w:val="24"/>
                <w:szCs w:val="24"/>
              </w:rPr>
              <w:t>地表水</w:t>
            </w:r>
          </w:p>
          <w:p>
            <w:pPr>
              <w:pStyle w:val="76"/>
              <w:spacing w:line="440" w:lineRule="exact"/>
              <w:ind w:firstLine="480"/>
              <w:rPr>
                <w:color w:val="auto"/>
                <w:szCs w:val="32"/>
              </w:rPr>
            </w:pPr>
            <w:r>
              <w:rPr>
                <w:color w:val="auto"/>
                <w:szCs w:val="32"/>
              </w:rPr>
              <w:t>韩城境内水资源丰富，总量达2.1亿m</w:t>
            </w:r>
            <w:r>
              <w:rPr>
                <w:color w:val="auto"/>
                <w:szCs w:val="32"/>
                <w:vertAlign w:val="superscript"/>
              </w:rPr>
              <w:t>3</w:t>
            </w:r>
            <w:r>
              <w:rPr>
                <w:color w:val="auto"/>
                <w:szCs w:val="32"/>
              </w:rPr>
              <w:t>。河流有院子河、埝庄河、凿开河、白矾河、盘河、汶水、泌水、澽水、芝水九条，均属黄河一级支流，平行排列，由西向东注入黄河。黄河流经市境东部，以禹门口为界，分为上段大北干流段和下段小北干流段。</w:t>
            </w:r>
          </w:p>
          <w:p>
            <w:pPr>
              <w:spacing w:line="360" w:lineRule="auto"/>
              <w:ind w:firstLine="480" w:firstLineChars="200"/>
              <w:rPr>
                <w:rFonts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黄河在项目以东约1km，黄河在韩城市境内流程65km，其中禹门口以上的大北干流段23km，禹门口以下的小北干流段42km。市境内地势西北高、东南低。西部、北部为山区，东南部为川原滩区。地貌演变过程以水力侵蚀为主，形成构造侵蚀型地貌。市境内流入黄河的一级支流主要有院子河、埝庄河、凿开河、白矾河、盘河、汶水、泌水、澽水、芝水等。流域内植被较差，水土流失严重，河流含沙量大。、大北干流黄河沿岸为薄层黄土覆盖的石质丘陵沟谷，两岸地形较陡，基岩峭壁矗立，丘陵顶坡光秃裸露，河床较窄而固定，两岸基岩出露。小北干流黄河沿岸为阶地台原，原面被河流切割，形成许多川、原相接的小片区，黄河滩面宽浅，主流经常摆动，属典型的堆积游荡型河段。</w:t>
            </w:r>
          </w:p>
          <w:p>
            <w:pPr>
              <w:pStyle w:val="56"/>
              <w:snapToGrid w:val="0"/>
              <w:spacing w:after="0" w:line="360" w:lineRule="auto"/>
              <w:ind w:firstLine="480" w:firstLineChars="200"/>
              <w:rPr>
                <w:color w:val="auto"/>
              </w:rPr>
            </w:pPr>
            <w:r>
              <w:rPr>
                <w:color w:val="auto"/>
              </w:rPr>
              <w:fldChar w:fldCharType="begin"/>
            </w:r>
            <w:r>
              <w:rPr>
                <w:color w:val="auto"/>
              </w:rPr>
              <w:instrText xml:space="preserve"> = 2 \* GB3 </w:instrText>
            </w:r>
            <w:r>
              <w:rPr>
                <w:color w:val="auto"/>
              </w:rPr>
              <w:fldChar w:fldCharType="separate"/>
            </w:r>
            <w:r>
              <w:rPr>
                <w:rFonts w:hint="eastAsia" w:ascii="宋体" w:hAnsi="宋体" w:cs="宋体"/>
                <w:color w:val="auto"/>
              </w:rPr>
              <w:t>②</w:t>
            </w:r>
            <w:r>
              <w:rPr>
                <w:rFonts w:ascii="宋体" w:hAnsi="宋体" w:cs="宋体"/>
                <w:color w:val="auto"/>
              </w:rPr>
              <w:fldChar w:fldCharType="end"/>
            </w:r>
            <w:r>
              <w:rPr>
                <w:color w:val="auto"/>
              </w:rPr>
              <w:t>地下水</w:t>
            </w:r>
          </w:p>
          <w:p>
            <w:pPr>
              <w:pStyle w:val="76"/>
              <w:spacing w:line="360" w:lineRule="auto"/>
              <w:ind w:firstLine="482"/>
              <w:rPr>
                <w:b/>
                <w:color w:val="auto"/>
              </w:rPr>
            </w:pPr>
            <w:r>
              <w:rPr>
                <w:color w:val="auto"/>
                <w:szCs w:val="24"/>
              </w:rPr>
              <w:t>韩城市地下水资源总量17165.92.16万立方米。其中降水补给10360.31万立方米</w:t>
            </w:r>
            <w:r>
              <w:rPr>
                <w:rFonts w:hint="eastAsia"/>
                <w:color w:val="auto"/>
                <w:szCs w:val="24"/>
              </w:rPr>
              <w:t>，</w:t>
            </w:r>
            <w:r>
              <w:rPr>
                <w:color w:val="auto"/>
                <w:szCs w:val="24"/>
              </w:rPr>
              <w:t>河水补给964.62万立方米，渠道渗漏补给828.4万立方米，田间灌水入渗补给702.6万立方米，黄河漫滩补给4310万立方米。可利用量8419.1万立方米，已开发利用2687.81万立方米，占可利用量的31.9%。韩城市地下水属于潜水型，量丰质好，埋深10.5m～18.2m，含水层厚度为26m～30m，对混凝土无侵蚀性。</w:t>
            </w:r>
          </w:p>
          <w:p>
            <w:pPr>
              <w:spacing w:line="360" w:lineRule="auto"/>
              <w:ind w:firstLine="482" w:firstLineChars="200"/>
              <w:rPr>
                <w:b/>
                <w:bCs/>
                <w:color w:val="auto"/>
                <w:sz w:val="24"/>
                <w:szCs w:val="24"/>
              </w:rPr>
            </w:pPr>
            <w:r>
              <w:rPr>
                <w:rFonts w:hint="eastAsia"/>
                <w:b/>
                <w:bCs/>
                <w:color w:val="auto"/>
                <w:sz w:val="24"/>
                <w:szCs w:val="24"/>
              </w:rPr>
              <w:t>4、</w:t>
            </w:r>
            <w:r>
              <w:rPr>
                <w:b/>
                <w:bCs/>
                <w:color w:val="auto"/>
                <w:sz w:val="24"/>
                <w:szCs w:val="24"/>
              </w:rPr>
              <w:t>气候、气象</w:t>
            </w:r>
          </w:p>
          <w:p>
            <w:pPr>
              <w:tabs>
                <w:tab w:val="left" w:pos="525"/>
              </w:tabs>
              <w:snapToGrid w:val="0"/>
              <w:spacing w:line="360" w:lineRule="auto"/>
              <w:ind w:firstLine="480" w:firstLineChars="200"/>
              <w:rPr>
                <w:color w:val="auto"/>
                <w:kern w:val="0"/>
                <w:sz w:val="24"/>
                <w:szCs w:val="24"/>
              </w:rPr>
            </w:pPr>
            <w:r>
              <w:rPr>
                <w:color w:val="auto"/>
                <w:kern w:val="0"/>
                <w:sz w:val="24"/>
                <w:szCs w:val="24"/>
              </w:rPr>
              <w:t>韩城属暖温带半干旱大陆性季风气候，四季冷暖分明，干湿季节明显。1957年建站以来，极端最高气温42.6</w:t>
            </w:r>
            <w:r>
              <w:rPr>
                <w:rFonts w:hint="eastAsia"/>
                <w:color w:val="auto"/>
                <w:kern w:val="0"/>
                <w:sz w:val="24"/>
                <w:szCs w:val="24"/>
              </w:rPr>
              <w:t>℃</w:t>
            </w:r>
            <w:r>
              <w:rPr>
                <w:color w:val="auto"/>
                <w:kern w:val="0"/>
                <w:sz w:val="24"/>
                <w:szCs w:val="24"/>
              </w:rPr>
              <w:t>（1966年6月21日），极端最低气温-16.7</w:t>
            </w:r>
            <w:r>
              <w:rPr>
                <w:rFonts w:hint="eastAsia"/>
                <w:color w:val="auto"/>
                <w:kern w:val="0"/>
                <w:sz w:val="24"/>
                <w:szCs w:val="24"/>
              </w:rPr>
              <w:t>℃</w:t>
            </w:r>
            <w:r>
              <w:rPr>
                <w:color w:val="auto"/>
                <w:kern w:val="0"/>
                <w:sz w:val="24"/>
                <w:szCs w:val="24"/>
              </w:rPr>
              <w:t>（1991年12月28日），最大年降水量1081.8mm（1958年），最少266.0mm（1997年）。早霜始于10月27日，晚霜终于4月2日，无霜期158.5d。主要气象灾害有干旱、连阴雨、大风和冰雹。</w:t>
            </w:r>
          </w:p>
          <w:p>
            <w:pPr>
              <w:tabs>
                <w:tab w:val="left" w:pos="525"/>
              </w:tabs>
              <w:snapToGrid w:val="0"/>
              <w:spacing w:line="360" w:lineRule="auto"/>
              <w:ind w:firstLine="480" w:firstLineChars="200"/>
              <w:rPr>
                <w:color w:val="auto"/>
                <w:kern w:val="0"/>
                <w:sz w:val="24"/>
                <w:szCs w:val="24"/>
              </w:rPr>
            </w:pPr>
            <w:r>
              <w:rPr>
                <w:color w:val="auto"/>
                <w:kern w:val="0"/>
                <w:sz w:val="24"/>
                <w:szCs w:val="24"/>
              </w:rPr>
              <w:t>韩城市近20年平均气温13.8</w:t>
            </w:r>
            <w:r>
              <w:rPr>
                <w:rFonts w:hint="eastAsia"/>
                <w:color w:val="auto"/>
                <w:kern w:val="0"/>
                <w:sz w:val="24"/>
                <w:szCs w:val="24"/>
              </w:rPr>
              <w:t>℃</w:t>
            </w:r>
            <w:r>
              <w:rPr>
                <w:color w:val="auto"/>
                <w:kern w:val="0"/>
                <w:sz w:val="24"/>
                <w:szCs w:val="24"/>
              </w:rPr>
              <w:t>，降水量552.2mm，日照2281.6h，年均风速2.0m/s，最多风向NE，最大风速18.0m/s，评价区域近20年主要气象要素统计见表9。本区域多年最多风向为NE，次多风向为ENE。区域主导风向为NNE-NE-ENE，</w:t>
            </w:r>
            <w:r>
              <w:rPr>
                <w:rFonts w:hint="eastAsia"/>
                <w:color w:val="auto"/>
                <w:kern w:val="0"/>
                <w:sz w:val="24"/>
                <w:szCs w:val="24"/>
              </w:rPr>
              <w:t>具体见图1</w:t>
            </w:r>
            <w:r>
              <w:rPr>
                <w:color w:val="auto"/>
                <w:kern w:val="0"/>
                <w:sz w:val="24"/>
                <w:szCs w:val="24"/>
              </w:rPr>
              <w:t>。</w:t>
            </w:r>
          </w:p>
          <w:p>
            <w:pPr>
              <w:spacing w:line="360" w:lineRule="auto"/>
              <w:jc w:val="center"/>
              <w:rPr>
                <w:b/>
                <w:color w:val="auto"/>
                <w:sz w:val="24"/>
                <w:szCs w:val="24"/>
              </w:rPr>
            </w:pPr>
            <w:r>
              <w:rPr>
                <w:b/>
                <w:color w:val="auto"/>
                <w:sz w:val="24"/>
                <w:szCs w:val="24"/>
              </w:rPr>
              <w:t>表9   韩城县近20年气象累年年资料</w:t>
            </w:r>
          </w:p>
          <w:tbl>
            <w:tblPr>
              <w:tblStyle w:val="26"/>
              <w:tblW w:w="891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822"/>
              <w:gridCol w:w="2270"/>
              <w:gridCol w:w="182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4822"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b/>
                      <w:color w:val="auto"/>
                    </w:rPr>
                  </w:pPr>
                  <w:r>
                    <w:rPr>
                      <w:b/>
                      <w:color w:val="auto"/>
                    </w:rPr>
                    <w:t>要素名称</w:t>
                  </w:r>
                </w:p>
              </w:tc>
              <w:tc>
                <w:tcPr>
                  <w:tcW w:w="2270"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b/>
                      <w:color w:val="auto"/>
                    </w:rPr>
                  </w:pPr>
                  <w:r>
                    <w:rPr>
                      <w:b/>
                      <w:color w:val="auto"/>
                    </w:rPr>
                    <w:t>值</w:t>
                  </w:r>
                </w:p>
              </w:tc>
              <w:tc>
                <w:tcPr>
                  <w:tcW w:w="1824"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b/>
                      <w:color w:val="auto"/>
                    </w:rPr>
                  </w:pPr>
                  <w:r>
                    <w:rPr>
                      <w:b/>
                      <w:color w:val="auto"/>
                    </w:rPr>
                    <w:t>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4822"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平均风速</w:t>
                  </w:r>
                </w:p>
              </w:tc>
              <w:tc>
                <w:tcPr>
                  <w:tcW w:w="2270"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2</w:t>
                  </w:r>
                </w:p>
              </w:tc>
              <w:tc>
                <w:tcPr>
                  <w:tcW w:w="1824"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m/s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4822"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极端最大风速</w:t>
                  </w:r>
                </w:p>
              </w:tc>
              <w:tc>
                <w:tcPr>
                  <w:tcW w:w="2270"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18</w:t>
                  </w:r>
                </w:p>
              </w:tc>
              <w:tc>
                <w:tcPr>
                  <w:tcW w:w="1824"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m/s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4822"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平均气温</w:t>
                  </w:r>
                </w:p>
              </w:tc>
              <w:tc>
                <w:tcPr>
                  <w:tcW w:w="2270"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13.8</w:t>
                  </w:r>
                </w:p>
              </w:tc>
              <w:tc>
                <w:tcPr>
                  <w:tcW w:w="1824"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rFonts w:hint="eastAsia" w:ascii="宋体" w:hAnsi="宋体" w:cs="宋体"/>
                      <w:color w:val="auto"/>
                      <w:kern w:val="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4822"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极端最高气温</w:t>
                  </w:r>
                </w:p>
              </w:tc>
              <w:tc>
                <w:tcPr>
                  <w:tcW w:w="2270"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40.9</w:t>
                  </w:r>
                </w:p>
              </w:tc>
              <w:tc>
                <w:tcPr>
                  <w:tcW w:w="1824"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rFonts w:hint="eastAsia" w:ascii="宋体" w:hAnsi="宋体" w:cs="宋体"/>
                      <w:color w:val="auto"/>
                      <w:kern w:val="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4822"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极端最低气温</w:t>
                  </w:r>
                </w:p>
              </w:tc>
              <w:tc>
                <w:tcPr>
                  <w:tcW w:w="2270"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-15.2</w:t>
                  </w:r>
                </w:p>
              </w:tc>
              <w:tc>
                <w:tcPr>
                  <w:tcW w:w="1824"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rFonts w:hint="eastAsia" w:ascii="宋体" w:hAnsi="宋体" w:cs="宋体"/>
                      <w:color w:val="auto"/>
                      <w:kern w:val="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4822"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平均相对湿度</w:t>
                  </w:r>
                </w:p>
              </w:tc>
              <w:tc>
                <w:tcPr>
                  <w:tcW w:w="2270"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60</w:t>
                  </w:r>
                </w:p>
              </w:tc>
              <w:tc>
                <w:tcPr>
                  <w:tcW w:w="1824"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4822"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降水量平均值</w:t>
                  </w:r>
                </w:p>
              </w:tc>
              <w:tc>
                <w:tcPr>
                  <w:tcW w:w="2270"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552.2</w:t>
                  </w:r>
                </w:p>
              </w:tc>
              <w:tc>
                <w:tcPr>
                  <w:tcW w:w="1824"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mm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4822"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年降水量极大值</w:t>
                  </w:r>
                </w:p>
              </w:tc>
              <w:tc>
                <w:tcPr>
                  <w:tcW w:w="2270"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894.3</w:t>
                  </w:r>
                </w:p>
              </w:tc>
              <w:tc>
                <w:tcPr>
                  <w:tcW w:w="1824"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mm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4822"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年降水量极小值</w:t>
                  </w:r>
                </w:p>
              </w:tc>
              <w:tc>
                <w:tcPr>
                  <w:tcW w:w="2270"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266</w:t>
                  </w:r>
                </w:p>
              </w:tc>
              <w:tc>
                <w:tcPr>
                  <w:tcW w:w="1824"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mm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4822"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日照时数平均值</w:t>
                  </w:r>
                </w:p>
              </w:tc>
              <w:tc>
                <w:tcPr>
                  <w:tcW w:w="2270"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2281.6</w:t>
                  </w:r>
                </w:p>
              </w:tc>
              <w:tc>
                <w:tcPr>
                  <w:tcW w:w="1824" w:type="dxa"/>
                  <w:tcBorders>
                    <w:top w:val="single" w:color="auto" w:sz="2" w:space="0"/>
                    <w:left w:val="single" w:color="auto" w:sz="2" w:space="0"/>
                    <w:bottom w:val="single" w:color="auto" w:sz="2" w:space="0"/>
                    <w:right w:val="single" w:color="auto" w:sz="2" w:space="0"/>
                  </w:tcBorders>
                  <w:vAlign w:val="center"/>
                </w:tcPr>
                <w:p>
                  <w:pPr>
                    <w:widowControl/>
                    <w:jc w:val="center"/>
                    <w:rPr>
                      <w:color w:val="auto"/>
                      <w:kern w:val="0"/>
                    </w:rPr>
                  </w:pPr>
                  <w:r>
                    <w:rPr>
                      <w:color w:val="auto"/>
                      <w:kern w:val="0"/>
                    </w:rPr>
                    <w:t>h</w:t>
                  </w:r>
                </w:p>
              </w:tc>
            </w:tr>
          </w:tbl>
          <w:p>
            <w:pPr>
              <w:adjustRightInd w:val="0"/>
              <w:snapToGrid w:val="0"/>
              <w:spacing w:line="360" w:lineRule="auto"/>
              <w:rPr>
                <w:color w:val="auto"/>
                <w:sz w:val="24"/>
                <w:szCs w:val="24"/>
              </w:rPr>
            </w:pPr>
          </w:p>
          <w:p>
            <w:pPr>
              <w:adjustRightInd w:val="0"/>
              <w:snapToGrid w:val="0"/>
              <w:spacing w:line="360" w:lineRule="auto"/>
              <w:jc w:val="center"/>
              <w:rPr>
                <w:color w:val="auto"/>
                <w:sz w:val="24"/>
                <w:szCs w:val="24"/>
              </w:rPr>
            </w:pPr>
            <w:r>
              <w:rPr>
                <w:color w:val="auto"/>
                <w:szCs w:val="24"/>
              </w:rPr>
              <w:drawing>
                <wp:inline distT="0" distB="0" distL="0" distR="0">
                  <wp:extent cx="4034790" cy="20186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034790" cy="2018665"/>
                          </a:xfrm>
                          <a:prstGeom prst="rect">
                            <a:avLst/>
                          </a:prstGeom>
                          <a:noFill/>
                          <a:ln>
                            <a:noFill/>
                          </a:ln>
                        </pic:spPr>
                      </pic:pic>
                    </a:graphicData>
                  </a:graphic>
                </wp:inline>
              </w:drawing>
            </w:r>
          </w:p>
          <w:p>
            <w:pPr>
              <w:adjustRightInd w:val="0"/>
              <w:snapToGrid w:val="0"/>
              <w:spacing w:line="360" w:lineRule="auto"/>
              <w:jc w:val="center"/>
              <w:rPr>
                <w:b/>
                <w:color w:val="auto"/>
                <w:sz w:val="24"/>
                <w:szCs w:val="24"/>
              </w:rPr>
            </w:pPr>
            <w:r>
              <w:rPr>
                <w:rFonts w:hint="eastAsia"/>
                <w:b/>
                <w:color w:val="auto"/>
                <w:sz w:val="24"/>
                <w:szCs w:val="24"/>
              </w:rPr>
              <w:t>图1</w:t>
            </w:r>
            <w:r>
              <w:rPr>
                <w:b/>
                <w:color w:val="auto"/>
                <w:sz w:val="24"/>
                <w:szCs w:val="24"/>
              </w:rPr>
              <w:t xml:space="preserve">  </w:t>
            </w:r>
            <w:r>
              <w:rPr>
                <w:rFonts w:hint="eastAsia"/>
                <w:b/>
                <w:color w:val="auto"/>
                <w:sz w:val="24"/>
                <w:szCs w:val="24"/>
              </w:rPr>
              <w:t>韩城市</w:t>
            </w:r>
            <w:r>
              <w:rPr>
                <w:b/>
                <w:color w:val="auto"/>
                <w:sz w:val="24"/>
                <w:szCs w:val="24"/>
              </w:rPr>
              <w:t>近20年</w:t>
            </w:r>
            <w:r>
              <w:rPr>
                <w:rFonts w:hint="eastAsia"/>
                <w:b/>
                <w:color w:val="auto"/>
                <w:sz w:val="24"/>
                <w:szCs w:val="24"/>
              </w:rPr>
              <w:t>风频玫瑰图</w:t>
            </w:r>
          </w:p>
          <w:p>
            <w:pPr>
              <w:spacing w:line="360" w:lineRule="auto"/>
              <w:ind w:firstLine="482" w:firstLineChars="200"/>
              <w:rPr>
                <w:rFonts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5、植被及生物多样性</w:t>
            </w:r>
          </w:p>
          <w:p>
            <w:pPr>
              <w:pStyle w:val="76"/>
              <w:spacing w:line="360" w:lineRule="auto"/>
              <w:ind w:firstLine="480"/>
              <w:rPr>
                <w:color w:val="auto"/>
                <w:szCs w:val="28"/>
              </w:rPr>
            </w:pPr>
            <w:r>
              <w:rPr>
                <w:color w:val="auto"/>
                <w:szCs w:val="28"/>
              </w:rPr>
              <w:t>该项目所在地为</w:t>
            </w:r>
            <w:r>
              <w:rPr>
                <w:rFonts w:hint="eastAsia"/>
                <w:color w:val="auto"/>
                <w:szCs w:val="28"/>
              </w:rPr>
              <w:t>龙门镇，龙门镇工业企业较多</w:t>
            </w:r>
            <w:r>
              <w:rPr>
                <w:color w:val="auto"/>
                <w:szCs w:val="28"/>
              </w:rPr>
              <w:t>，天然植被较少，野生动物基本绝迹。</w:t>
            </w:r>
          </w:p>
          <w:p>
            <w:pPr>
              <w:pStyle w:val="76"/>
              <w:spacing w:line="360" w:lineRule="auto"/>
              <w:ind w:firstLine="480"/>
              <w:rPr>
                <w:color w:val="auto"/>
                <w:szCs w:val="28"/>
              </w:rPr>
            </w:pPr>
            <w:r>
              <w:rPr>
                <w:color w:val="auto"/>
                <w:szCs w:val="28"/>
              </w:rPr>
              <w:t>本项目所在区域内无自然保护区、风景名胜区、饮用水源地及国家明令保护的野生动植物</w:t>
            </w:r>
            <w:r>
              <w:rPr>
                <w:rFonts w:hint="eastAsia"/>
                <w:color w:val="auto"/>
                <w:szCs w:val="28"/>
              </w:rPr>
              <w:t>，项目</w:t>
            </w:r>
            <w:r>
              <w:rPr>
                <w:color w:val="auto"/>
                <w:szCs w:val="28"/>
              </w:rPr>
              <w:t>与黄河湿地保护区相距</w:t>
            </w:r>
            <w:r>
              <w:rPr>
                <w:rFonts w:hint="eastAsia"/>
                <w:color w:val="auto"/>
                <w:szCs w:val="28"/>
              </w:rPr>
              <w:t>820m，</w:t>
            </w:r>
            <w:r>
              <w:rPr>
                <w:color w:val="auto"/>
                <w:szCs w:val="28"/>
              </w:rPr>
              <w:t>不在其保护范围内。</w:t>
            </w:r>
          </w:p>
          <w:p>
            <w:pPr>
              <w:spacing w:line="360" w:lineRule="auto"/>
              <w:ind w:firstLine="482" w:firstLineChars="200"/>
              <w:rPr>
                <w:rFonts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6、土壤</w:t>
            </w:r>
          </w:p>
          <w:p>
            <w:pPr>
              <w:pStyle w:val="56"/>
              <w:snapToGrid w:val="0"/>
              <w:spacing w:after="0" w:line="360" w:lineRule="auto"/>
              <w:ind w:firstLine="480" w:firstLineChars="200"/>
              <w:jc w:val="both"/>
              <w:rPr>
                <w:color w:val="auto"/>
              </w:rPr>
            </w:pPr>
            <w:r>
              <w:rPr>
                <w:color w:val="auto"/>
              </w:rPr>
              <w:t>韩城市在全国土壤区划中属地带性土壤—褐土区。褐土是在暖温带、半干旱季风气候条件下以落叶阔叶林为主并伴生草灌植被而形成的地带性土壤。韩城市原有的褐土大部分已形成塿土和黄土性土。目前仅有褐土性土一个亚类，面积22554.93ha，占全市土壤总面积的15.41%，主要分布在海拔600～1400m的浅山丘陵和北部山区。塿土是本市面积较大的主要农业土壤，广泛分布在台原区的大池埝、西庄、昝村、苏东、龙亭、芝阳等乡的平缓地带，面积8066.4ha，占土壤总面积的5.5%。该市黄土性土面积74192.6ha，占全市土壤总面积的50.64%，广泛分布于王峰、盘龙、西庄、大池埝、板桥、嵬东、芝阳、乔子玄等乡（镇）的浅山丘陵、沟壑川道和台原的缓坡地带。该市由于山多、沟多、台原破碎，淤土分布破碎、零散，唯黄河滩淤土面积大而集中，总面积4176.67 ha，占全市土壤面积的2.8%。红土主要分布在乔子玄、芝阳、独泉、枣庄的部分山腰上半部，面积2766.73 ha，占本市土壤总面积的1.90%。</w:t>
            </w:r>
          </w:p>
        </w:tc>
      </w:tr>
    </w:tbl>
    <w:p>
      <w:pPr>
        <w:outlineLvl w:val="0"/>
        <w:rPr>
          <w:rFonts w:eastAsia="黑体"/>
          <w:color w:val="auto"/>
          <w:sz w:val="30"/>
          <w:szCs w:val="30"/>
        </w:rPr>
      </w:pPr>
      <w:r>
        <w:rPr>
          <w:rFonts w:eastAsia="黑体"/>
          <w:color w:val="auto"/>
          <w:sz w:val="30"/>
          <w:szCs w:val="30"/>
        </w:rPr>
        <w:t>环境质量状况</w:t>
      </w:r>
    </w:p>
    <w:tbl>
      <w:tblPr>
        <w:tblStyle w:val="26"/>
        <w:tblW w:w="9004"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single" w:color="auto" w:sz="12" w:space="0"/>
        </w:tblBorders>
        <w:tblLayout w:type="fixed"/>
        <w:tblCellMar>
          <w:top w:w="0" w:type="dxa"/>
          <w:left w:w="108" w:type="dxa"/>
          <w:bottom w:w="0" w:type="dxa"/>
          <w:right w:w="108" w:type="dxa"/>
        </w:tblCellMar>
      </w:tblPr>
      <w:tblGrid>
        <w:gridCol w:w="9004"/>
      </w:tblGrid>
      <w:tr>
        <w:tblPrEx>
          <w:tblBorders>
            <w:top w:val="single" w:color="auto" w:sz="12" w:space="0"/>
            <w:left w:val="single" w:color="auto" w:sz="12" w:space="0"/>
            <w:bottom w:val="single" w:color="auto" w:sz="12" w:space="0"/>
            <w:right w:val="single" w:color="auto" w:sz="12" w:space="0"/>
            <w:insideH w:val="none" w:color="auto" w:sz="0" w:space="0"/>
            <w:insideV w:val="single" w:color="auto" w:sz="12" w:space="0"/>
          </w:tblBorders>
          <w:tblLayout w:type="fixed"/>
          <w:tblCellMar>
            <w:top w:w="0" w:type="dxa"/>
            <w:left w:w="108" w:type="dxa"/>
            <w:bottom w:w="0" w:type="dxa"/>
            <w:right w:w="108" w:type="dxa"/>
          </w:tblCellMar>
        </w:tblPrEx>
        <w:trPr>
          <w:trHeight w:val="1496" w:hRule="atLeast"/>
          <w:jc w:val="center"/>
        </w:trPr>
        <w:tc>
          <w:tcPr>
            <w:tcW w:w="9004" w:type="dxa"/>
            <w:tcBorders>
              <w:bottom w:val="single" w:color="auto" w:sz="4" w:space="0"/>
            </w:tcBorders>
          </w:tcPr>
          <w:p>
            <w:pPr>
              <w:spacing w:before="156" w:beforeLines="50" w:after="156" w:afterLines="50"/>
              <w:rPr>
                <w:b/>
                <w:bCs/>
                <w:color w:val="auto"/>
                <w:sz w:val="28"/>
                <w:szCs w:val="28"/>
              </w:rPr>
            </w:pPr>
            <w:r>
              <w:rPr>
                <w:b/>
                <w:bCs/>
                <w:color w:val="auto"/>
                <w:sz w:val="28"/>
                <w:szCs w:val="28"/>
              </w:rPr>
              <w:t>建设项目所在地区域环境质量现状及主要环境问题（环境空气、地面水、地下水、声环境、生态环境等）</w:t>
            </w:r>
          </w:p>
          <w:p>
            <w:pPr>
              <w:spacing w:line="360" w:lineRule="auto"/>
              <w:ind w:firstLine="480" w:firstLineChars="200"/>
              <w:rPr>
                <w:color w:val="auto"/>
                <w:sz w:val="24"/>
                <w:szCs w:val="24"/>
              </w:rPr>
            </w:pPr>
            <w:r>
              <w:rPr>
                <w:color w:val="auto"/>
                <w:sz w:val="24"/>
                <w:szCs w:val="24"/>
              </w:rPr>
              <w:t>为了解项目所在地环境质量现状，本次评价</w:t>
            </w:r>
            <w:r>
              <w:rPr>
                <w:rFonts w:hint="eastAsia"/>
                <w:color w:val="auto"/>
                <w:sz w:val="24"/>
                <w:szCs w:val="24"/>
              </w:rPr>
              <w:t>引用正在编制中的《韩城经济技术开发区总体规划（2015-2030）环境影响报告书》中，2017年7月24日至8月1日对项目所在区域环境空气质量现状监测结果；声环境现状利用建设单位于2018年4月1日的自行监测结果进行声环境质量现状评价</w:t>
            </w:r>
            <w:r>
              <w:rPr>
                <w:color w:val="auto"/>
                <w:sz w:val="24"/>
                <w:szCs w:val="24"/>
              </w:rPr>
              <w:t>。</w:t>
            </w:r>
          </w:p>
          <w:p>
            <w:pPr>
              <w:snapToGrid w:val="0"/>
              <w:spacing w:line="360" w:lineRule="auto"/>
              <w:ind w:firstLine="482" w:firstLineChars="200"/>
              <w:rPr>
                <w:b/>
                <w:bCs/>
                <w:color w:val="auto"/>
                <w:sz w:val="24"/>
                <w:szCs w:val="24"/>
              </w:rPr>
            </w:pPr>
            <w:r>
              <w:rPr>
                <w:b/>
                <w:bCs/>
                <w:color w:val="auto"/>
                <w:sz w:val="24"/>
                <w:szCs w:val="24"/>
              </w:rPr>
              <w:t>一、环境空气质量现状</w:t>
            </w:r>
          </w:p>
          <w:p>
            <w:pPr>
              <w:spacing w:line="360" w:lineRule="auto"/>
              <w:ind w:firstLine="480" w:firstLineChars="200"/>
              <w:rPr>
                <w:color w:val="auto"/>
                <w:sz w:val="24"/>
                <w:szCs w:val="24"/>
              </w:rPr>
            </w:pPr>
            <w:r>
              <w:rPr>
                <w:color w:val="auto"/>
                <w:sz w:val="24"/>
                <w:szCs w:val="24"/>
              </w:rPr>
              <w:fldChar w:fldCharType="begin"/>
            </w:r>
            <w:r>
              <w:rPr>
                <w:rFonts w:hint="eastAsia"/>
                <w:color w:val="auto"/>
                <w:sz w:val="24"/>
                <w:szCs w:val="24"/>
              </w:rPr>
              <w:instrText xml:space="preserve">= 1 \* GB2</w:instrText>
            </w:r>
            <w:r>
              <w:rPr>
                <w:color w:val="auto"/>
                <w:sz w:val="24"/>
                <w:szCs w:val="24"/>
              </w:rPr>
              <w:fldChar w:fldCharType="separate"/>
            </w:r>
            <w:r>
              <w:rPr>
                <w:rFonts w:hint="eastAsia"/>
                <w:color w:val="auto"/>
                <w:sz w:val="24"/>
                <w:szCs w:val="24"/>
              </w:rPr>
              <w:t>⑴</w:t>
            </w:r>
            <w:r>
              <w:rPr>
                <w:color w:val="auto"/>
                <w:sz w:val="24"/>
                <w:szCs w:val="24"/>
              </w:rPr>
              <w:fldChar w:fldCharType="end"/>
            </w:r>
            <w:r>
              <w:rPr>
                <w:color w:val="auto"/>
                <w:sz w:val="24"/>
                <w:szCs w:val="24"/>
              </w:rPr>
              <w:t>监测点位</w:t>
            </w:r>
            <w:r>
              <w:rPr>
                <w:rFonts w:hint="eastAsia"/>
                <w:color w:val="auto"/>
                <w:sz w:val="24"/>
                <w:szCs w:val="24"/>
              </w:rPr>
              <w:t>及数据来源</w:t>
            </w:r>
          </w:p>
          <w:p>
            <w:pPr>
              <w:spacing w:line="360" w:lineRule="auto"/>
              <w:ind w:firstLine="480" w:firstLineChars="200"/>
              <w:rPr>
                <w:color w:val="auto"/>
                <w:sz w:val="24"/>
                <w:szCs w:val="24"/>
              </w:rPr>
            </w:pPr>
            <w:r>
              <w:rPr>
                <w:rFonts w:hint="eastAsia"/>
                <w:color w:val="auto"/>
                <w:sz w:val="24"/>
                <w:szCs w:val="24"/>
              </w:rPr>
              <w:t>监测数据引用选取评价范围内与拟建项目有关的2个环境空气质量现状监测点位，分别为渚北村和龙门镇，引用数据来源及监测时间见表</w:t>
            </w:r>
            <w:r>
              <w:rPr>
                <w:color w:val="auto"/>
                <w:sz w:val="24"/>
                <w:szCs w:val="24"/>
              </w:rPr>
              <w:t>10</w:t>
            </w:r>
            <w:r>
              <w:rPr>
                <w:rFonts w:hint="eastAsia"/>
                <w:color w:val="auto"/>
                <w:sz w:val="24"/>
                <w:szCs w:val="24"/>
              </w:rPr>
              <w:t>，引用的环境空气质量现状监测点位布置附图4。</w:t>
            </w:r>
          </w:p>
          <w:p>
            <w:pPr>
              <w:spacing w:line="360" w:lineRule="auto"/>
              <w:jc w:val="center"/>
              <w:rPr>
                <w:b/>
                <w:color w:val="auto"/>
                <w:sz w:val="24"/>
                <w:szCs w:val="24"/>
              </w:rPr>
            </w:pPr>
            <w:r>
              <w:rPr>
                <w:rFonts w:hint="eastAsia"/>
                <w:b/>
                <w:color w:val="auto"/>
                <w:sz w:val="24"/>
                <w:szCs w:val="24"/>
              </w:rPr>
              <w:t>表</w:t>
            </w:r>
            <w:r>
              <w:rPr>
                <w:b/>
                <w:color w:val="auto"/>
                <w:sz w:val="24"/>
                <w:szCs w:val="24"/>
              </w:rPr>
              <w:t xml:space="preserve">10  </w:t>
            </w:r>
            <w:r>
              <w:rPr>
                <w:rFonts w:hint="eastAsia"/>
                <w:b/>
                <w:color w:val="auto"/>
                <w:sz w:val="24"/>
                <w:szCs w:val="24"/>
              </w:rPr>
              <w:t>环境空气质量现状引用数据监测点位一览表</w:t>
            </w:r>
          </w:p>
          <w:tbl>
            <w:tblPr>
              <w:tblStyle w:val="27"/>
              <w:tblW w:w="8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884"/>
              <w:gridCol w:w="2266"/>
              <w:gridCol w:w="3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090" w:type="dxa"/>
                  <w:vAlign w:val="center"/>
                </w:tcPr>
                <w:p>
                  <w:pPr>
                    <w:adjustRightInd w:val="0"/>
                    <w:snapToGrid w:val="0"/>
                    <w:jc w:val="center"/>
                    <w:rPr>
                      <w:color w:val="auto"/>
                    </w:rPr>
                  </w:pPr>
                  <w:r>
                    <w:rPr>
                      <w:color w:val="auto"/>
                    </w:rPr>
                    <w:t>编号</w:t>
                  </w:r>
                </w:p>
              </w:tc>
              <w:tc>
                <w:tcPr>
                  <w:tcW w:w="1884" w:type="dxa"/>
                  <w:vAlign w:val="center"/>
                </w:tcPr>
                <w:p>
                  <w:pPr>
                    <w:adjustRightInd w:val="0"/>
                    <w:snapToGrid w:val="0"/>
                    <w:jc w:val="center"/>
                    <w:rPr>
                      <w:color w:val="auto"/>
                    </w:rPr>
                  </w:pPr>
                  <w:r>
                    <w:rPr>
                      <w:color w:val="auto"/>
                    </w:rPr>
                    <w:t>监测点位</w:t>
                  </w:r>
                </w:p>
              </w:tc>
              <w:tc>
                <w:tcPr>
                  <w:tcW w:w="2266" w:type="dxa"/>
                  <w:vAlign w:val="center"/>
                </w:tcPr>
                <w:p>
                  <w:pPr>
                    <w:adjustRightInd w:val="0"/>
                    <w:snapToGrid w:val="0"/>
                    <w:jc w:val="center"/>
                    <w:rPr>
                      <w:color w:val="auto"/>
                    </w:rPr>
                  </w:pPr>
                  <w:r>
                    <w:rPr>
                      <w:color w:val="auto"/>
                    </w:rPr>
                    <w:t>监测时间</w:t>
                  </w:r>
                </w:p>
              </w:tc>
              <w:tc>
                <w:tcPr>
                  <w:tcW w:w="3538" w:type="dxa"/>
                  <w:vAlign w:val="center"/>
                </w:tcPr>
                <w:p>
                  <w:pPr>
                    <w:adjustRightInd w:val="0"/>
                    <w:snapToGrid w:val="0"/>
                    <w:jc w:val="center"/>
                    <w:rPr>
                      <w:color w:val="auto"/>
                    </w:rPr>
                  </w:pPr>
                  <w:r>
                    <w:rPr>
                      <w:color w:val="auto"/>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1090" w:type="dxa"/>
                  <w:vAlign w:val="center"/>
                </w:tcPr>
                <w:p>
                  <w:pPr>
                    <w:adjustRightInd w:val="0"/>
                    <w:snapToGrid w:val="0"/>
                    <w:jc w:val="center"/>
                    <w:rPr>
                      <w:color w:val="auto"/>
                    </w:rPr>
                  </w:pPr>
                  <w:r>
                    <w:rPr>
                      <w:color w:val="auto"/>
                    </w:rPr>
                    <w:t>1</w:t>
                  </w:r>
                </w:p>
              </w:tc>
              <w:tc>
                <w:tcPr>
                  <w:tcW w:w="1884" w:type="dxa"/>
                  <w:vAlign w:val="center"/>
                </w:tcPr>
                <w:p>
                  <w:pPr>
                    <w:adjustRightInd w:val="0"/>
                    <w:snapToGrid w:val="0"/>
                    <w:jc w:val="center"/>
                    <w:rPr>
                      <w:color w:val="auto"/>
                    </w:rPr>
                  </w:pPr>
                  <w:r>
                    <w:rPr>
                      <w:rFonts w:hint="eastAsia"/>
                      <w:color w:val="auto"/>
                    </w:rPr>
                    <w:t>渚北村</w:t>
                  </w:r>
                </w:p>
              </w:tc>
              <w:tc>
                <w:tcPr>
                  <w:tcW w:w="2266" w:type="dxa"/>
                  <w:vMerge w:val="restart"/>
                  <w:vAlign w:val="center"/>
                </w:tcPr>
                <w:p>
                  <w:pPr>
                    <w:adjustRightInd w:val="0"/>
                    <w:snapToGrid w:val="0"/>
                    <w:jc w:val="center"/>
                    <w:rPr>
                      <w:color w:val="auto"/>
                    </w:rPr>
                  </w:pPr>
                  <w:r>
                    <w:rPr>
                      <w:color w:val="auto"/>
                    </w:rPr>
                    <w:t>201</w:t>
                  </w:r>
                  <w:r>
                    <w:rPr>
                      <w:rFonts w:hint="eastAsia"/>
                      <w:color w:val="auto"/>
                    </w:rPr>
                    <w:t>7</w:t>
                  </w:r>
                  <w:r>
                    <w:rPr>
                      <w:color w:val="auto"/>
                    </w:rPr>
                    <w:t>年</w:t>
                  </w:r>
                  <w:r>
                    <w:rPr>
                      <w:rFonts w:hint="eastAsia"/>
                      <w:color w:val="auto"/>
                    </w:rPr>
                    <w:t>7</w:t>
                  </w:r>
                  <w:r>
                    <w:rPr>
                      <w:color w:val="auto"/>
                    </w:rPr>
                    <w:t>月</w:t>
                  </w:r>
                  <w:r>
                    <w:rPr>
                      <w:rFonts w:hint="eastAsia"/>
                      <w:color w:val="auto"/>
                    </w:rPr>
                    <w:t>24</w:t>
                  </w:r>
                  <w:r>
                    <w:rPr>
                      <w:color w:val="auto"/>
                    </w:rPr>
                    <w:t>日~</w:t>
                  </w:r>
                  <w:r>
                    <w:rPr>
                      <w:rFonts w:hint="eastAsia"/>
                      <w:color w:val="auto"/>
                    </w:rPr>
                    <w:t>2017年8月1</w:t>
                  </w:r>
                  <w:r>
                    <w:rPr>
                      <w:color w:val="auto"/>
                    </w:rPr>
                    <w:t>日</w:t>
                  </w:r>
                </w:p>
              </w:tc>
              <w:tc>
                <w:tcPr>
                  <w:tcW w:w="3538" w:type="dxa"/>
                  <w:vMerge w:val="restart"/>
                  <w:vAlign w:val="center"/>
                </w:tcPr>
                <w:p>
                  <w:pPr>
                    <w:adjustRightInd w:val="0"/>
                    <w:snapToGrid w:val="0"/>
                    <w:jc w:val="center"/>
                    <w:rPr>
                      <w:color w:val="auto"/>
                    </w:rPr>
                  </w:pPr>
                  <w:r>
                    <w:rPr>
                      <w:rFonts w:hint="eastAsia"/>
                      <w:color w:val="auto"/>
                    </w:rPr>
                    <w:t>正在编制中的《韩城经济技术开发区总体规划（2015-2030）环境影响报告书》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1090" w:type="dxa"/>
                  <w:vAlign w:val="center"/>
                </w:tcPr>
                <w:p>
                  <w:pPr>
                    <w:adjustRightInd w:val="0"/>
                    <w:snapToGrid w:val="0"/>
                    <w:jc w:val="center"/>
                    <w:rPr>
                      <w:color w:val="auto"/>
                    </w:rPr>
                  </w:pPr>
                  <w:r>
                    <w:rPr>
                      <w:color w:val="auto"/>
                    </w:rPr>
                    <w:t>2</w:t>
                  </w:r>
                </w:p>
              </w:tc>
              <w:tc>
                <w:tcPr>
                  <w:tcW w:w="1884" w:type="dxa"/>
                  <w:vAlign w:val="center"/>
                </w:tcPr>
                <w:p>
                  <w:pPr>
                    <w:adjustRightInd w:val="0"/>
                    <w:snapToGrid w:val="0"/>
                    <w:jc w:val="center"/>
                    <w:rPr>
                      <w:color w:val="auto"/>
                    </w:rPr>
                  </w:pPr>
                  <w:r>
                    <w:rPr>
                      <w:rFonts w:hint="eastAsia"/>
                      <w:color w:val="auto"/>
                    </w:rPr>
                    <w:t>龙门镇</w:t>
                  </w:r>
                </w:p>
              </w:tc>
              <w:tc>
                <w:tcPr>
                  <w:tcW w:w="2266" w:type="dxa"/>
                  <w:vMerge w:val="continue"/>
                  <w:vAlign w:val="center"/>
                </w:tcPr>
                <w:p>
                  <w:pPr>
                    <w:adjustRightInd w:val="0"/>
                    <w:snapToGrid w:val="0"/>
                    <w:jc w:val="center"/>
                    <w:rPr>
                      <w:color w:val="auto"/>
                    </w:rPr>
                  </w:pPr>
                </w:p>
              </w:tc>
              <w:tc>
                <w:tcPr>
                  <w:tcW w:w="3538" w:type="dxa"/>
                  <w:vMerge w:val="continue"/>
                  <w:vAlign w:val="center"/>
                </w:tcPr>
                <w:p>
                  <w:pPr>
                    <w:adjustRightInd w:val="0"/>
                    <w:snapToGrid w:val="0"/>
                    <w:jc w:val="center"/>
                    <w:rPr>
                      <w:color w:val="auto"/>
                    </w:rPr>
                  </w:pPr>
                </w:p>
              </w:tc>
            </w:tr>
          </w:tbl>
          <w:p>
            <w:pPr>
              <w:spacing w:line="360" w:lineRule="auto"/>
              <w:ind w:firstLine="480" w:firstLineChars="200"/>
              <w:rPr>
                <w:color w:val="auto"/>
                <w:sz w:val="24"/>
                <w:szCs w:val="24"/>
              </w:rPr>
            </w:pPr>
          </w:p>
          <w:p>
            <w:pPr>
              <w:spacing w:line="360" w:lineRule="auto"/>
              <w:ind w:firstLine="480" w:firstLineChars="200"/>
              <w:rPr>
                <w:color w:val="auto"/>
                <w:sz w:val="24"/>
                <w:szCs w:val="24"/>
              </w:rPr>
            </w:pPr>
            <w:r>
              <w:rPr>
                <w:rFonts w:hint="eastAsia"/>
                <w:color w:val="auto"/>
                <w:sz w:val="24"/>
                <w:szCs w:val="24"/>
              </w:rPr>
              <w:t>（2）监测因子</w:t>
            </w:r>
          </w:p>
          <w:p>
            <w:pPr>
              <w:spacing w:line="360" w:lineRule="auto"/>
              <w:ind w:firstLine="480" w:firstLineChars="200"/>
              <w:rPr>
                <w:color w:val="auto"/>
                <w:sz w:val="24"/>
                <w:szCs w:val="24"/>
              </w:rPr>
            </w:pPr>
            <w:r>
              <w:rPr>
                <w:rFonts w:hint="eastAsia"/>
                <w:color w:val="auto"/>
                <w:sz w:val="24"/>
                <w:szCs w:val="24"/>
              </w:rPr>
              <w:t>根据拟建项目环境影响特征，选取引用数据中的SO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2</w:t>
            </w:r>
            <w:r>
              <w:rPr>
                <w:rFonts w:hint="eastAsia"/>
                <w:color w:val="auto"/>
                <w:sz w:val="24"/>
                <w:szCs w:val="24"/>
              </w:rPr>
              <w:t>、PM</w:t>
            </w:r>
            <w:r>
              <w:rPr>
                <w:rFonts w:hint="eastAsia"/>
                <w:color w:val="auto"/>
                <w:sz w:val="24"/>
                <w:szCs w:val="24"/>
                <w:vertAlign w:val="subscript"/>
              </w:rPr>
              <w:t>10</w:t>
            </w:r>
            <w:r>
              <w:rPr>
                <w:rFonts w:hint="eastAsia"/>
                <w:color w:val="auto"/>
                <w:sz w:val="24"/>
                <w:szCs w:val="24"/>
              </w:rPr>
              <w:t>、PM</w:t>
            </w:r>
            <w:r>
              <w:rPr>
                <w:rFonts w:hint="eastAsia"/>
                <w:color w:val="auto"/>
                <w:sz w:val="24"/>
                <w:szCs w:val="24"/>
                <w:vertAlign w:val="subscript"/>
              </w:rPr>
              <w:t>2.5</w:t>
            </w:r>
            <w:r>
              <w:rPr>
                <w:rFonts w:hint="eastAsia"/>
                <w:color w:val="auto"/>
                <w:sz w:val="24"/>
                <w:szCs w:val="24"/>
              </w:rPr>
              <w:t>和NH</w:t>
            </w:r>
            <w:r>
              <w:rPr>
                <w:rFonts w:hint="eastAsia"/>
                <w:color w:val="auto"/>
                <w:sz w:val="24"/>
                <w:szCs w:val="24"/>
                <w:vertAlign w:val="subscript"/>
              </w:rPr>
              <w:t>3</w:t>
            </w:r>
            <w:r>
              <w:rPr>
                <w:rFonts w:hint="eastAsia"/>
                <w:color w:val="auto"/>
                <w:sz w:val="24"/>
                <w:szCs w:val="24"/>
              </w:rPr>
              <w:t>作为本次环境质量现状评价因子。</w:t>
            </w:r>
          </w:p>
          <w:p>
            <w:pPr>
              <w:spacing w:line="360" w:lineRule="auto"/>
              <w:ind w:firstLine="480" w:firstLineChars="200"/>
              <w:rPr>
                <w:color w:val="auto"/>
                <w:sz w:val="24"/>
                <w:szCs w:val="24"/>
              </w:rPr>
            </w:pPr>
            <w:r>
              <w:rPr>
                <w:rFonts w:hint="eastAsia"/>
                <w:color w:val="auto"/>
                <w:sz w:val="24"/>
                <w:szCs w:val="24"/>
              </w:rPr>
              <w:t>（3）监测分析方法</w:t>
            </w:r>
          </w:p>
          <w:p>
            <w:pPr>
              <w:spacing w:line="360" w:lineRule="auto"/>
              <w:jc w:val="center"/>
              <w:rPr>
                <w:b/>
                <w:color w:val="auto"/>
                <w:sz w:val="24"/>
                <w:szCs w:val="24"/>
              </w:rPr>
            </w:pPr>
            <w:r>
              <w:rPr>
                <w:rFonts w:hint="eastAsia"/>
                <w:b/>
                <w:color w:val="auto"/>
                <w:sz w:val="24"/>
                <w:szCs w:val="24"/>
              </w:rPr>
              <w:t>表</w:t>
            </w:r>
            <w:r>
              <w:rPr>
                <w:b/>
                <w:color w:val="auto"/>
                <w:sz w:val="24"/>
                <w:szCs w:val="24"/>
              </w:rPr>
              <w:t>11</w:t>
            </w:r>
            <w:r>
              <w:rPr>
                <w:rFonts w:hint="eastAsia"/>
                <w:b/>
                <w:color w:val="auto"/>
                <w:sz w:val="24"/>
                <w:szCs w:val="24"/>
              </w:rPr>
              <w:t xml:space="preserve">  环境空气质量现状监测分析方法一览表</w:t>
            </w:r>
          </w:p>
          <w:tbl>
            <w:tblPr>
              <w:tblStyle w:val="26"/>
              <w:tblW w:w="8778" w:type="dxa"/>
              <w:jc w:val="center"/>
              <w:tblInd w:w="0" w:type="dxa"/>
              <w:tblLayout w:type="fixed"/>
              <w:tblCellMar>
                <w:top w:w="0" w:type="dxa"/>
                <w:left w:w="108" w:type="dxa"/>
                <w:bottom w:w="0" w:type="dxa"/>
                <w:right w:w="108" w:type="dxa"/>
              </w:tblCellMar>
            </w:tblPr>
            <w:tblGrid>
              <w:gridCol w:w="2057"/>
              <w:gridCol w:w="2063"/>
              <w:gridCol w:w="3442"/>
              <w:gridCol w:w="1216"/>
            </w:tblGrid>
            <w:tr>
              <w:tblPrEx>
                <w:tblLayout w:type="fixed"/>
                <w:tblCellMar>
                  <w:top w:w="0" w:type="dxa"/>
                  <w:left w:w="108" w:type="dxa"/>
                  <w:bottom w:w="0" w:type="dxa"/>
                  <w:right w:w="108" w:type="dxa"/>
                </w:tblCellMar>
              </w:tblPrEx>
              <w:trPr>
                <w:jc w:val="center"/>
              </w:trPr>
              <w:tc>
                <w:tcPr>
                  <w:tcW w:w="2057" w:type="dxa"/>
                  <w:tcBorders>
                    <w:top w:val="single" w:color="000000" w:sz="4" w:space="0"/>
                    <w:left w:val="single" w:color="000000" w:sz="4" w:space="0"/>
                    <w:bottom w:val="single" w:color="000000" w:sz="4" w:space="0"/>
                    <w:right w:val="single" w:color="000000" w:sz="4" w:space="0"/>
                  </w:tcBorders>
                  <w:vAlign w:val="center"/>
                </w:tcPr>
                <w:p>
                  <w:pPr>
                    <w:tabs>
                      <w:tab w:val="left" w:pos="1140"/>
                    </w:tabs>
                    <w:adjustRightInd w:val="0"/>
                    <w:snapToGrid w:val="0"/>
                    <w:jc w:val="center"/>
                    <w:rPr>
                      <w:color w:val="auto"/>
                    </w:rPr>
                  </w:pPr>
                  <w:r>
                    <w:rPr>
                      <w:color w:val="auto"/>
                    </w:rPr>
                    <w:t>项</w:t>
                  </w:r>
                  <w:r>
                    <w:rPr>
                      <w:color w:val="auto"/>
                      <w:w w:val="99"/>
                    </w:rPr>
                    <w:t>目</w:t>
                  </w:r>
                </w:p>
              </w:tc>
              <w:tc>
                <w:tcPr>
                  <w:tcW w:w="206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w w:val="99"/>
                    </w:rPr>
                    <w:t>标准号</w:t>
                  </w:r>
                </w:p>
              </w:tc>
              <w:tc>
                <w:tcPr>
                  <w:tcW w:w="344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w w:val="99"/>
                    </w:rPr>
                    <w:t>分析方法</w:t>
                  </w:r>
                </w:p>
              </w:tc>
              <w:tc>
                <w:tcPr>
                  <w:tcW w:w="12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检出限</w:t>
                  </w:r>
                </w:p>
              </w:tc>
            </w:tr>
            <w:tr>
              <w:tblPrEx>
                <w:tblLayout w:type="fixed"/>
                <w:tblCellMar>
                  <w:top w:w="0" w:type="dxa"/>
                  <w:left w:w="108" w:type="dxa"/>
                  <w:bottom w:w="0" w:type="dxa"/>
                  <w:right w:w="108" w:type="dxa"/>
                </w:tblCellMar>
              </w:tblPrEx>
              <w:trPr>
                <w:jc w:val="center"/>
              </w:trPr>
              <w:tc>
                <w:tcPr>
                  <w:tcW w:w="205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SO</w:t>
                  </w:r>
                  <w:r>
                    <w:rPr>
                      <w:color w:val="auto"/>
                      <w:vertAlign w:val="subscript"/>
                    </w:rPr>
                    <w:t>2</w:t>
                  </w:r>
                  <w:r>
                    <w:rPr>
                      <w:color w:val="auto"/>
                    </w:rPr>
                    <w:t>（小时平均值）</w:t>
                  </w:r>
                </w:p>
              </w:tc>
              <w:tc>
                <w:tcPr>
                  <w:tcW w:w="206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HJ482-2009</w:t>
                  </w:r>
                </w:p>
              </w:tc>
              <w:tc>
                <w:tcPr>
                  <w:tcW w:w="3442"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甲醛吸收-副玫瑰苯胺分光光度法</w:t>
                  </w:r>
                </w:p>
              </w:tc>
              <w:tc>
                <w:tcPr>
                  <w:tcW w:w="12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0.007</w:t>
                  </w:r>
                </w:p>
              </w:tc>
            </w:tr>
            <w:tr>
              <w:tblPrEx>
                <w:tblLayout w:type="fixed"/>
                <w:tblCellMar>
                  <w:top w:w="0" w:type="dxa"/>
                  <w:left w:w="108" w:type="dxa"/>
                  <w:bottom w:w="0" w:type="dxa"/>
                  <w:right w:w="108" w:type="dxa"/>
                </w:tblCellMar>
              </w:tblPrEx>
              <w:trPr>
                <w:jc w:val="center"/>
              </w:trPr>
              <w:tc>
                <w:tcPr>
                  <w:tcW w:w="205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SO</w:t>
                  </w:r>
                  <w:r>
                    <w:rPr>
                      <w:color w:val="auto"/>
                      <w:vertAlign w:val="subscript"/>
                    </w:rPr>
                    <w:t>2</w:t>
                  </w:r>
                  <w:r>
                    <w:rPr>
                      <w:color w:val="auto"/>
                    </w:rPr>
                    <w:t>（日均值）</w:t>
                  </w:r>
                </w:p>
              </w:tc>
              <w:tc>
                <w:tcPr>
                  <w:tcW w:w="206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344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0.004</w:t>
                  </w:r>
                </w:p>
              </w:tc>
            </w:tr>
            <w:tr>
              <w:tblPrEx>
                <w:tblLayout w:type="fixed"/>
                <w:tblCellMar>
                  <w:top w:w="0" w:type="dxa"/>
                  <w:left w:w="108" w:type="dxa"/>
                  <w:bottom w:w="0" w:type="dxa"/>
                  <w:right w:w="108" w:type="dxa"/>
                </w:tblCellMar>
              </w:tblPrEx>
              <w:trPr>
                <w:jc w:val="center"/>
              </w:trPr>
              <w:tc>
                <w:tcPr>
                  <w:tcW w:w="205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NO</w:t>
                  </w:r>
                  <w:r>
                    <w:rPr>
                      <w:color w:val="auto"/>
                      <w:vertAlign w:val="subscript"/>
                    </w:rPr>
                    <w:t>2</w:t>
                  </w:r>
                  <w:r>
                    <w:rPr>
                      <w:color w:val="auto"/>
                    </w:rPr>
                    <w:t>（小时平均值）</w:t>
                  </w:r>
                </w:p>
              </w:tc>
              <w:tc>
                <w:tcPr>
                  <w:tcW w:w="206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HJ479-2009</w:t>
                  </w:r>
                </w:p>
              </w:tc>
              <w:tc>
                <w:tcPr>
                  <w:tcW w:w="3442"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盐酸萘乙二胺分光光度法</w:t>
                  </w:r>
                </w:p>
              </w:tc>
              <w:tc>
                <w:tcPr>
                  <w:tcW w:w="12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0.005</w:t>
                  </w:r>
                </w:p>
              </w:tc>
            </w:tr>
            <w:tr>
              <w:tblPrEx>
                <w:tblLayout w:type="fixed"/>
                <w:tblCellMar>
                  <w:top w:w="0" w:type="dxa"/>
                  <w:left w:w="108" w:type="dxa"/>
                  <w:bottom w:w="0" w:type="dxa"/>
                  <w:right w:w="108" w:type="dxa"/>
                </w:tblCellMar>
              </w:tblPrEx>
              <w:trPr>
                <w:jc w:val="center"/>
              </w:trPr>
              <w:tc>
                <w:tcPr>
                  <w:tcW w:w="205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NO</w:t>
                  </w:r>
                  <w:r>
                    <w:rPr>
                      <w:color w:val="auto"/>
                      <w:vertAlign w:val="subscript"/>
                    </w:rPr>
                    <w:t>2</w:t>
                  </w:r>
                  <w:r>
                    <w:rPr>
                      <w:color w:val="auto"/>
                    </w:rPr>
                    <w:t>（日均值）</w:t>
                  </w:r>
                </w:p>
              </w:tc>
              <w:tc>
                <w:tcPr>
                  <w:tcW w:w="206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344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0.003</w:t>
                  </w:r>
                </w:p>
              </w:tc>
            </w:tr>
            <w:tr>
              <w:tblPrEx>
                <w:tblLayout w:type="fixed"/>
                <w:tblCellMar>
                  <w:top w:w="0" w:type="dxa"/>
                  <w:left w:w="108" w:type="dxa"/>
                  <w:bottom w:w="0" w:type="dxa"/>
                  <w:right w:w="108" w:type="dxa"/>
                </w:tblCellMar>
              </w:tblPrEx>
              <w:trPr>
                <w:jc w:val="center"/>
              </w:trPr>
              <w:tc>
                <w:tcPr>
                  <w:tcW w:w="205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w w:val="99"/>
                    </w:rPr>
                    <w:t>PM</w:t>
                  </w:r>
                  <w:r>
                    <w:rPr>
                      <w:color w:val="auto"/>
                      <w:w w:val="105"/>
                      <w:vertAlign w:val="subscript"/>
                    </w:rPr>
                    <w:t>10</w:t>
                  </w:r>
                </w:p>
              </w:tc>
              <w:tc>
                <w:tcPr>
                  <w:tcW w:w="206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H</w:t>
                  </w:r>
                  <w:r>
                    <w:rPr>
                      <w:color w:val="auto"/>
                    </w:rPr>
                    <w:cr/>
                  </w:r>
                  <w:r>
                    <w:rPr>
                      <w:color w:val="auto"/>
                    </w:rPr>
                    <w:t>618-2011</w:t>
                  </w:r>
                </w:p>
              </w:tc>
              <w:tc>
                <w:tcPr>
                  <w:tcW w:w="344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重量法</w:t>
                  </w:r>
                </w:p>
              </w:tc>
              <w:tc>
                <w:tcPr>
                  <w:tcW w:w="12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0.010</w:t>
                  </w:r>
                </w:p>
              </w:tc>
            </w:tr>
            <w:tr>
              <w:tblPrEx>
                <w:tblLayout w:type="fixed"/>
                <w:tblCellMar>
                  <w:top w:w="0" w:type="dxa"/>
                  <w:left w:w="108" w:type="dxa"/>
                  <w:bottom w:w="0" w:type="dxa"/>
                  <w:right w:w="108" w:type="dxa"/>
                </w:tblCellMar>
              </w:tblPrEx>
              <w:trPr>
                <w:jc w:val="center"/>
              </w:trPr>
              <w:tc>
                <w:tcPr>
                  <w:tcW w:w="205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w w:val="99"/>
                    </w:rPr>
                    <w:t>PM</w:t>
                  </w:r>
                  <w:r>
                    <w:rPr>
                      <w:rFonts w:hint="eastAsia"/>
                      <w:color w:val="auto"/>
                      <w:w w:val="105"/>
                      <w:vertAlign w:val="subscript"/>
                    </w:rPr>
                    <w:t>2.5</w:t>
                  </w:r>
                </w:p>
              </w:tc>
              <w:tc>
                <w:tcPr>
                  <w:tcW w:w="206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HJ618-2011</w:t>
                  </w:r>
                </w:p>
              </w:tc>
              <w:tc>
                <w:tcPr>
                  <w:tcW w:w="344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重量法</w:t>
                  </w:r>
                </w:p>
              </w:tc>
              <w:tc>
                <w:tcPr>
                  <w:tcW w:w="12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0.010</w:t>
                  </w:r>
                </w:p>
              </w:tc>
            </w:tr>
            <w:tr>
              <w:tblPrEx>
                <w:tblLayout w:type="fixed"/>
                <w:tblCellMar>
                  <w:top w:w="0" w:type="dxa"/>
                  <w:left w:w="108" w:type="dxa"/>
                  <w:bottom w:w="0" w:type="dxa"/>
                  <w:right w:w="108" w:type="dxa"/>
                </w:tblCellMar>
              </w:tblPrEx>
              <w:trPr>
                <w:jc w:val="center"/>
              </w:trPr>
              <w:tc>
                <w:tcPr>
                  <w:tcW w:w="205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w w:val="99"/>
                    </w:rPr>
                    <w:t>NH</w:t>
                  </w:r>
                  <w:r>
                    <w:rPr>
                      <w:color w:val="auto"/>
                      <w:w w:val="105"/>
                      <w:vertAlign w:val="subscript"/>
                    </w:rPr>
                    <w:t>3</w:t>
                  </w:r>
                </w:p>
              </w:tc>
              <w:tc>
                <w:tcPr>
                  <w:tcW w:w="206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HJ533-2009</w:t>
                  </w:r>
                </w:p>
              </w:tc>
              <w:tc>
                <w:tcPr>
                  <w:tcW w:w="344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纳氏试剂分光光度法</w:t>
                  </w:r>
                </w:p>
              </w:tc>
              <w:tc>
                <w:tcPr>
                  <w:tcW w:w="12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w w:val="99"/>
                    </w:rPr>
                    <w:t>0.01</w:t>
                  </w:r>
                </w:p>
              </w:tc>
            </w:tr>
          </w:tbl>
          <w:p>
            <w:pPr>
              <w:pStyle w:val="43"/>
              <w:ind w:firstLine="436" w:firstLineChars="182"/>
              <w:rPr>
                <w:rFonts w:ascii="Times New Roman"/>
                <w:color w:val="auto"/>
                <w:szCs w:val="24"/>
              </w:rPr>
            </w:pPr>
            <w:r>
              <w:rPr>
                <w:rFonts w:ascii="Times New Roman"/>
                <w:color w:val="auto"/>
                <w:szCs w:val="24"/>
              </w:rPr>
              <w:t>监测结果</w:t>
            </w:r>
            <w:r>
              <w:rPr>
                <w:rFonts w:hint="eastAsia" w:ascii="Times New Roman"/>
                <w:color w:val="auto"/>
                <w:szCs w:val="24"/>
              </w:rPr>
              <w:t>见</w:t>
            </w:r>
            <w:r>
              <w:rPr>
                <w:rFonts w:ascii="Times New Roman"/>
                <w:color w:val="auto"/>
                <w:szCs w:val="24"/>
              </w:rPr>
              <w:t>表12</w:t>
            </w:r>
            <w:r>
              <w:rPr>
                <w:rFonts w:hint="eastAsia" w:ascii="Times New Roman"/>
                <w:color w:val="auto"/>
                <w:szCs w:val="24"/>
              </w:rPr>
              <w:t>~</w:t>
            </w:r>
            <w:r>
              <w:rPr>
                <w:rFonts w:ascii="Times New Roman"/>
                <w:color w:val="auto"/>
                <w:szCs w:val="24"/>
              </w:rPr>
              <w:t>13。</w:t>
            </w:r>
          </w:p>
          <w:p>
            <w:pPr>
              <w:pStyle w:val="43"/>
              <w:spacing w:line="240" w:lineRule="auto"/>
              <w:ind w:firstLine="436" w:firstLineChars="182"/>
              <w:jc w:val="center"/>
              <w:rPr>
                <w:rFonts w:ascii="Times New Roman" w:eastAsia="黑体"/>
                <w:color w:val="auto"/>
                <w:szCs w:val="24"/>
              </w:rPr>
            </w:pPr>
          </w:p>
          <w:p>
            <w:pPr>
              <w:pStyle w:val="43"/>
              <w:spacing w:line="240" w:lineRule="auto"/>
              <w:ind w:firstLine="436" w:firstLineChars="182"/>
              <w:jc w:val="center"/>
              <w:rPr>
                <w:rFonts w:ascii="Times New Roman" w:eastAsia="黑体"/>
                <w:color w:val="auto"/>
                <w:szCs w:val="24"/>
              </w:rPr>
            </w:pPr>
          </w:p>
          <w:p>
            <w:pPr>
              <w:pStyle w:val="43"/>
              <w:spacing w:line="240" w:lineRule="auto"/>
              <w:ind w:firstLine="436" w:firstLineChars="182"/>
              <w:jc w:val="center"/>
              <w:rPr>
                <w:rFonts w:ascii="Times New Roman" w:eastAsia="黑体"/>
                <w:color w:val="auto"/>
                <w:szCs w:val="24"/>
                <w:vertAlign w:val="superscript"/>
              </w:rPr>
            </w:pPr>
            <w:r>
              <w:rPr>
                <w:rFonts w:ascii="Times New Roman" w:eastAsia="黑体"/>
                <w:color w:val="auto"/>
                <w:szCs w:val="24"/>
              </w:rPr>
              <w:t>表12</w:t>
            </w:r>
            <w:r>
              <w:rPr>
                <w:rFonts w:hint="eastAsia" w:ascii="Times New Roman" w:eastAsia="黑体"/>
                <w:color w:val="auto"/>
                <w:szCs w:val="24"/>
              </w:rPr>
              <w:t xml:space="preserve">  </w:t>
            </w:r>
            <w:r>
              <w:rPr>
                <w:rFonts w:ascii="Times New Roman" w:eastAsia="黑体"/>
                <w:color w:val="auto"/>
                <w:szCs w:val="24"/>
              </w:rPr>
              <w:t xml:space="preserve"> 环境空气质量</w:t>
            </w:r>
            <w:r>
              <w:rPr>
                <w:rFonts w:hint="eastAsia" w:ascii="Times New Roman" w:eastAsia="黑体"/>
                <w:color w:val="auto"/>
                <w:szCs w:val="24"/>
              </w:rPr>
              <w:t>现状1h平均值</w:t>
            </w:r>
            <w:r>
              <w:rPr>
                <w:rFonts w:ascii="Times New Roman" w:eastAsia="黑体"/>
                <w:color w:val="auto"/>
                <w:szCs w:val="24"/>
              </w:rPr>
              <w:t>监测结果一览表</w:t>
            </w:r>
          </w:p>
          <w:tbl>
            <w:tblPr>
              <w:tblStyle w:val="26"/>
              <w:tblW w:w="8778" w:type="dxa"/>
              <w:jc w:val="center"/>
              <w:tblInd w:w="0" w:type="dxa"/>
              <w:tblLayout w:type="fixed"/>
              <w:tblCellMar>
                <w:top w:w="0" w:type="dxa"/>
                <w:left w:w="108" w:type="dxa"/>
                <w:bottom w:w="0" w:type="dxa"/>
                <w:right w:w="108" w:type="dxa"/>
              </w:tblCellMar>
            </w:tblPr>
            <w:tblGrid>
              <w:gridCol w:w="1394"/>
              <w:gridCol w:w="1333"/>
              <w:gridCol w:w="1285"/>
              <w:gridCol w:w="1499"/>
              <w:gridCol w:w="1713"/>
              <w:gridCol w:w="1554"/>
            </w:tblGrid>
            <w:tr>
              <w:tblPrEx>
                <w:tblLayout w:type="fixed"/>
                <w:tblCellMar>
                  <w:top w:w="0" w:type="dxa"/>
                  <w:left w:w="108" w:type="dxa"/>
                  <w:bottom w:w="0" w:type="dxa"/>
                  <w:right w:w="108" w:type="dxa"/>
                </w:tblCellMar>
              </w:tblPrEx>
              <w:trPr>
                <w:jc w:val="center"/>
              </w:trPr>
              <w:tc>
                <w:tcPr>
                  <w:tcW w:w="139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点位</w:t>
                  </w:r>
                </w:p>
              </w:tc>
              <w:tc>
                <w:tcPr>
                  <w:tcW w:w="133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日期</w:t>
                  </w: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时间</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SO</w:t>
                  </w:r>
                  <w:r>
                    <w:rPr>
                      <w:color w:val="auto"/>
                      <w:vertAlign w:val="subscript"/>
                    </w:rPr>
                    <w:t>2</w:t>
                  </w:r>
                  <w:r>
                    <w:rPr>
                      <w:rFonts w:hint="eastAsia"/>
                      <w:color w:val="auto"/>
                    </w:rPr>
                    <w:t>（</w:t>
                  </w:r>
                  <w:r>
                    <w:rPr>
                      <w:color w:val="auto"/>
                    </w:rPr>
                    <w:t>μg/m</w:t>
                  </w:r>
                  <w:r>
                    <w:rPr>
                      <w:color w:val="auto"/>
                      <w:vertAlign w:val="superscript"/>
                    </w:rPr>
                    <w:t>3</w:t>
                  </w:r>
                  <w:r>
                    <w:rPr>
                      <w:rFonts w:hint="eastAsia"/>
                      <w:color w:val="auto"/>
                    </w:rPr>
                    <w:t>）</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NO</w:t>
                  </w:r>
                  <w:r>
                    <w:rPr>
                      <w:color w:val="auto"/>
                      <w:vertAlign w:val="subscript"/>
                    </w:rPr>
                    <w:t>2</w:t>
                  </w:r>
                  <w:r>
                    <w:rPr>
                      <w:rFonts w:hint="eastAsia"/>
                      <w:color w:val="auto"/>
                    </w:rPr>
                    <w:t>（</w:t>
                  </w:r>
                  <w:r>
                    <w:rPr>
                      <w:color w:val="auto"/>
                    </w:rPr>
                    <w:t>μg/m</w:t>
                  </w:r>
                  <w:r>
                    <w:rPr>
                      <w:color w:val="auto"/>
                      <w:vertAlign w:val="superscript"/>
                    </w:rPr>
                    <w:t>3</w:t>
                  </w:r>
                  <w:r>
                    <w:rPr>
                      <w:rFonts w:hint="eastAsia"/>
                      <w:color w:val="auto"/>
                    </w:rPr>
                    <w:t>）</w:t>
                  </w:r>
                </w:p>
              </w:tc>
              <w:tc>
                <w:tcPr>
                  <w:tcW w:w="1554" w:type="dxa"/>
                  <w:tcBorders>
                    <w:top w:val="single" w:color="000000" w:sz="4" w:space="0"/>
                    <w:left w:val="single" w:color="000000" w:sz="4" w:space="0"/>
                    <w:bottom w:val="single" w:color="000000" w:sz="4" w:space="0"/>
                    <w:right w:val="single" w:color="000000" w:sz="4" w:space="0"/>
                  </w:tcBorders>
                </w:tcPr>
                <w:p>
                  <w:pPr>
                    <w:adjustRightInd w:val="0"/>
                    <w:snapToGrid w:val="0"/>
                    <w:jc w:val="center"/>
                    <w:rPr>
                      <w:color w:val="auto"/>
                    </w:rPr>
                  </w:pPr>
                  <w:r>
                    <w:rPr>
                      <w:color w:val="auto"/>
                    </w:rPr>
                    <w:t>NH</w:t>
                  </w:r>
                  <w:r>
                    <w:rPr>
                      <w:color w:val="auto"/>
                      <w:vertAlign w:val="subscript"/>
                    </w:rPr>
                    <w:t>3</w:t>
                  </w:r>
                  <w:r>
                    <w:rPr>
                      <w:rFonts w:hint="eastAsia"/>
                      <w:color w:val="auto"/>
                    </w:rPr>
                    <w:t>（mg/m</w:t>
                  </w:r>
                  <w:r>
                    <w:rPr>
                      <w:rFonts w:hint="eastAsia"/>
                      <w:color w:val="auto"/>
                      <w:vertAlign w:val="superscript"/>
                    </w:rPr>
                    <w:t>3</w:t>
                  </w:r>
                  <w:r>
                    <w:rPr>
                      <w:rFonts w:hint="eastAsia"/>
                      <w:color w:val="auto"/>
                    </w:rPr>
                    <w:t>）</w:t>
                  </w:r>
                </w:p>
              </w:tc>
            </w:tr>
            <w:tr>
              <w:tblPrEx>
                <w:tblLayout w:type="fixed"/>
                <w:tblCellMar>
                  <w:top w:w="0" w:type="dxa"/>
                  <w:left w:w="108" w:type="dxa"/>
                  <w:bottom w:w="0" w:type="dxa"/>
                  <w:right w:w="108" w:type="dxa"/>
                </w:tblCellMar>
              </w:tblPrEx>
              <w:trPr>
                <w:jc w:val="center"/>
              </w:trPr>
              <w:tc>
                <w:tcPr>
                  <w:tcW w:w="1394" w:type="dxa"/>
                  <w:vMerge w:val="restart"/>
                  <w:tcBorders>
                    <w:top w:val="single" w:color="000000" w:sz="4" w:space="0"/>
                    <w:left w:val="single" w:color="000000" w:sz="4" w:space="0"/>
                    <w:right w:val="single" w:color="000000" w:sz="4" w:space="0"/>
                  </w:tcBorders>
                  <w:vAlign w:val="center"/>
                </w:tcPr>
                <w:p>
                  <w:pPr>
                    <w:adjustRightInd w:val="0"/>
                    <w:snapToGrid w:val="0"/>
                    <w:jc w:val="center"/>
                    <w:rPr>
                      <w:color w:val="auto"/>
                    </w:rPr>
                  </w:pPr>
                  <w:r>
                    <w:rPr>
                      <w:color w:val="auto"/>
                    </w:rPr>
                    <w:t>1#渚北村</w:t>
                  </w:r>
                </w:p>
              </w:tc>
              <w:tc>
                <w:tcPr>
                  <w:tcW w:w="133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w:t>
                  </w:r>
                </w:p>
                <w:p>
                  <w:pPr>
                    <w:adjustRightInd w:val="0"/>
                    <w:snapToGrid w:val="0"/>
                    <w:jc w:val="center"/>
                    <w:rPr>
                      <w:color w:val="auto"/>
                    </w:rPr>
                  </w:pPr>
                  <w:r>
                    <w:rPr>
                      <w:color w:val="auto"/>
                    </w:rPr>
                    <w:t>24日</w:t>
                  </w: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02:00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10</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32</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0.017</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45</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0.016</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19</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52</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0.016</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cr/>
                  </w:r>
                  <w:r>
                    <w:rPr>
                      <w:color w:val="auto"/>
                    </w:rPr>
                    <w:t>0:00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16</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39</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0.012</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w:t>
                  </w:r>
                </w:p>
                <w:p>
                  <w:pPr>
                    <w:adjustRightInd w:val="0"/>
                    <w:snapToGrid w:val="0"/>
                    <w:jc w:val="center"/>
                    <w:rPr>
                      <w:color w:val="auto"/>
                    </w:rPr>
                  </w:pPr>
                  <w:r>
                    <w:rPr>
                      <w:color w:val="auto"/>
                    </w:rPr>
                    <w:t>25日</w:t>
                  </w: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02:00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9</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26</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0.013</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13</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35</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0.015</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15</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46</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0.019</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20:00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12</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29</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0.014</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w:t>
                  </w:r>
                </w:p>
                <w:p>
                  <w:pPr>
                    <w:adjustRightInd w:val="0"/>
                    <w:snapToGrid w:val="0"/>
                    <w:jc w:val="center"/>
                    <w:rPr>
                      <w:color w:val="auto"/>
                    </w:rPr>
                  </w:pPr>
                  <w:r>
                    <w:rPr>
                      <w:color w:val="auto"/>
                    </w:rPr>
                    <w:t>26日</w:t>
                  </w: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02:00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7</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21</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0.013</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9</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34</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0.014</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11</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45</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0.015</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20:00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8</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31</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0.012</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w:t>
                  </w:r>
                </w:p>
                <w:p>
                  <w:pPr>
                    <w:adjustRightInd w:val="0"/>
                    <w:snapToGrid w:val="0"/>
                    <w:jc w:val="center"/>
                    <w:rPr>
                      <w:color w:val="auto"/>
                    </w:rPr>
                  </w:pPr>
                  <w:r>
                    <w:rPr>
                      <w:color w:val="auto"/>
                    </w:rPr>
                    <w:t>27日</w:t>
                  </w: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02:00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10</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29</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0.014</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32</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0.016</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19</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41</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0.017</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20:00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15</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32</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0.015</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w:t>
                  </w:r>
                </w:p>
                <w:p>
                  <w:pPr>
                    <w:adjustRightInd w:val="0"/>
                    <w:snapToGrid w:val="0"/>
                    <w:jc w:val="center"/>
                    <w:rPr>
                      <w:color w:val="auto"/>
                    </w:rPr>
                  </w:pPr>
                  <w:r>
                    <w:rPr>
                      <w:color w:val="auto"/>
                    </w:rPr>
                    <w:t>30日</w:t>
                  </w: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02:00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7ND</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23</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0.01ND</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11</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35</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0.015</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15</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50</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0.018</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20:00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10</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35</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0.015</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w:t>
                  </w:r>
                </w:p>
                <w:p>
                  <w:pPr>
                    <w:adjustRightInd w:val="0"/>
                    <w:snapToGrid w:val="0"/>
                    <w:jc w:val="center"/>
                    <w:rPr>
                      <w:color w:val="auto"/>
                    </w:rPr>
                  </w:pPr>
                  <w:r>
                    <w:rPr>
                      <w:color w:val="auto"/>
                    </w:rPr>
                    <w:t>31日</w:t>
                  </w: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02:00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7</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37</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0.016</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11</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45</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0.014</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13</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51</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0.019</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20:00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10</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31</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0.016</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08月</w:t>
                  </w:r>
                </w:p>
                <w:p>
                  <w:pPr>
                    <w:adjustRightInd w:val="0"/>
                    <w:snapToGrid w:val="0"/>
                    <w:jc w:val="center"/>
                    <w:rPr>
                      <w:color w:val="auto"/>
                    </w:rPr>
                  </w:pPr>
                  <w:r>
                    <w:rPr>
                      <w:color w:val="auto"/>
                    </w:rPr>
                    <w:t>01日</w:t>
                  </w: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02:00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8</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30</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0.013</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13</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39</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cr/>
                  </w:r>
                  <w:r>
                    <w:rPr>
                      <w:color w:val="auto"/>
                    </w:rPr>
                    <w:t>.018</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17</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54</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0.015</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20:00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12</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33</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0.011</w:t>
                  </w:r>
                </w:p>
              </w:tc>
            </w:tr>
            <w:tr>
              <w:tblPrEx>
                <w:tblLayout w:type="fixed"/>
                <w:tblCellMar>
                  <w:top w:w="0" w:type="dxa"/>
                  <w:left w:w="108" w:type="dxa"/>
                  <w:bottom w:w="0" w:type="dxa"/>
                  <w:right w:w="108" w:type="dxa"/>
                </w:tblCellMar>
              </w:tblPrEx>
              <w:trPr>
                <w:jc w:val="center"/>
              </w:trPr>
              <w:tc>
                <w:tcPr>
                  <w:tcW w:w="1394" w:type="dxa"/>
                  <w:vMerge w:val="restart"/>
                  <w:tcBorders>
                    <w:top w:val="single" w:color="000000" w:sz="4" w:space="0"/>
                    <w:left w:val="single" w:color="000000" w:sz="4" w:space="0"/>
                    <w:right w:val="single" w:color="000000" w:sz="4" w:space="0"/>
                  </w:tcBorders>
                  <w:vAlign w:val="center"/>
                </w:tcPr>
                <w:p>
                  <w:pPr>
                    <w:adjustRightInd w:val="0"/>
                    <w:snapToGrid w:val="0"/>
                    <w:jc w:val="center"/>
                    <w:rPr>
                      <w:color w:val="auto"/>
                    </w:rPr>
                  </w:pPr>
                  <w:r>
                    <w:rPr>
                      <w:rFonts w:hint="eastAsia"/>
                      <w:color w:val="auto"/>
                    </w:rPr>
                    <w:t>2#</w:t>
                  </w:r>
                  <w:r>
                    <w:rPr>
                      <w:color w:val="auto"/>
                    </w:rPr>
                    <w:t>龙门镇</w:t>
                  </w:r>
                </w:p>
              </w:tc>
              <w:tc>
                <w:tcPr>
                  <w:tcW w:w="133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w:t>
                  </w:r>
                </w:p>
                <w:p>
                  <w:pPr>
                    <w:adjustRightInd w:val="0"/>
                    <w:snapToGrid w:val="0"/>
                    <w:jc w:val="center"/>
                    <w:rPr>
                      <w:color w:val="auto"/>
                    </w:rPr>
                  </w:pPr>
                  <w:r>
                    <w:rPr>
                      <w:color w:val="auto"/>
                    </w:rPr>
                    <w:t>24日</w:t>
                  </w: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02:00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9</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37</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0.013</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15</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44</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0.012</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20</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51</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0.017</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20:00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10</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42</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0.015</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w:t>
                  </w:r>
                </w:p>
                <w:p>
                  <w:pPr>
                    <w:adjustRightInd w:val="0"/>
                    <w:snapToGrid w:val="0"/>
                    <w:jc w:val="center"/>
                    <w:rPr>
                      <w:color w:val="auto"/>
                    </w:rPr>
                  </w:pPr>
                  <w:r>
                    <w:rPr>
                      <w:color w:val="auto"/>
                    </w:rPr>
                    <w:t>25日</w:t>
                  </w: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02:00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11</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24</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0.015</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31</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0.018</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20</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40</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0.020</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20:00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15</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31</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0.015</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w:t>
                  </w:r>
                </w:p>
                <w:p>
                  <w:pPr>
                    <w:adjustRightInd w:val="0"/>
                    <w:snapToGrid w:val="0"/>
                    <w:jc w:val="center"/>
                    <w:rPr>
                      <w:color w:val="auto"/>
                    </w:rPr>
                  </w:pPr>
                  <w:r>
                    <w:rPr>
                      <w:color w:val="auto"/>
                    </w:rPr>
                    <w:t>26日</w:t>
                  </w: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02:00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8</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24</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w:t>
                  </w:r>
                  <w:r>
                    <w:rPr>
                      <w:color w:val="auto"/>
                    </w:rPr>
                    <w:cr/>
                  </w:r>
                  <w:r>
                    <w:rPr>
                      <w:color w:val="auto"/>
                    </w:rPr>
                    <w:t>012</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10</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33</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0.017</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15</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42</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0.016</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20:00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9</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38</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0.014</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w:t>
                  </w:r>
                </w:p>
                <w:p>
                  <w:pPr>
                    <w:adjustRightInd w:val="0"/>
                    <w:snapToGrid w:val="0"/>
                    <w:jc w:val="center"/>
                    <w:rPr>
                      <w:color w:val="auto"/>
                    </w:rPr>
                  </w:pPr>
                  <w:r>
                    <w:rPr>
                      <w:color w:val="auto"/>
                    </w:rPr>
                    <w:t>27日</w:t>
                  </w: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02:00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11</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27</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0.015</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15</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33</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0.017</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18</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42</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0.020</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20:00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10</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34</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w:t>
                  </w:r>
                  <w:r>
                    <w:rPr>
                      <w:rFonts w:hint="eastAsia"/>
                      <w:color w:val="auto"/>
                    </w:rPr>
                    <w:t>0</w:t>
                  </w:r>
                  <w:r>
                    <w:rPr>
                      <w:color w:val="auto"/>
                    </w:rPr>
                    <w:t>15</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w:t>
                  </w:r>
                </w:p>
                <w:p>
                  <w:pPr>
                    <w:adjustRightInd w:val="0"/>
                    <w:snapToGrid w:val="0"/>
                    <w:jc w:val="center"/>
                    <w:rPr>
                      <w:color w:val="auto"/>
                    </w:rPr>
                  </w:pPr>
                  <w:r>
                    <w:rPr>
                      <w:color w:val="auto"/>
                    </w:rPr>
                    <w:t>30日</w:t>
                  </w: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02:00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7ND</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21</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0.01ND</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10</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34</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0.013</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48</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0.011</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20:00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12</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36</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0.010</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w:t>
                  </w:r>
                </w:p>
                <w:p>
                  <w:pPr>
                    <w:adjustRightInd w:val="0"/>
                    <w:snapToGrid w:val="0"/>
                    <w:jc w:val="center"/>
                    <w:rPr>
                      <w:color w:val="auto"/>
                    </w:rPr>
                  </w:pPr>
                  <w:r>
                    <w:rPr>
                      <w:color w:val="auto"/>
                    </w:rPr>
                    <w:t>31日</w:t>
                  </w: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02:00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9</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29</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0.013</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13</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37</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0.014</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15</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46</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0.016</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20:00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11</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35</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0.011</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08月</w:t>
                  </w:r>
                </w:p>
                <w:p>
                  <w:pPr>
                    <w:adjustRightInd w:val="0"/>
                    <w:snapToGrid w:val="0"/>
                    <w:jc w:val="center"/>
                    <w:rPr>
                      <w:color w:val="auto"/>
                    </w:rPr>
                  </w:pPr>
                  <w:r>
                    <w:rPr>
                      <w:color w:val="auto"/>
                    </w:rPr>
                    <w:t>01日</w:t>
                  </w: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02:00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8</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39</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0.012</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11</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51</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0.014</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17</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64</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0.015</w:t>
                  </w:r>
                </w:p>
              </w:tc>
            </w:tr>
            <w:tr>
              <w:tblPrEx>
                <w:tblLayout w:type="fixed"/>
                <w:tblCellMar>
                  <w:top w:w="0" w:type="dxa"/>
                  <w:left w:w="108" w:type="dxa"/>
                  <w:bottom w:w="0" w:type="dxa"/>
                  <w:right w:w="108" w:type="dxa"/>
                </w:tblCellMar>
              </w:tblPrEx>
              <w:trPr>
                <w:jc w:val="center"/>
              </w:trPr>
              <w:tc>
                <w:tcPr>
                  <w:tcW w:w="1394" w:type="dxa"/>
                  <w:vMerge w:val="continue"/>
                  <w:tcBorders>
                    <w:left w:val="single" w:color="000000" w:sz="4" w:space="0"/>
                    <w:bottom w:val="single" w:color="auto" w:sz="4" w:space="0"/>
                    <w:right w:val="single" w:color="000000" w:sz="4" w:space="0"/>
                  </w:tcBorders>
                  <w:vAlign w:val="center"/>
                </w:tcPr>
                <w:p>
                  <w:pPr>
                    <w:adjustRightInd w:val="0"/>
                    <w:snapToGrid w:val="0"/>
                    <w:jc w:val="center"/>
                    <w:rPr>
                      <w:color w:val="auto"/>
                    </w:rPr>
                  </w:pPr>
                </w:p>
              </w:tc>
              <w:tc>
                <w:tcPr>
                  <w:tcW w:w="1333" w:type="dxa"/>
                  <w:vMerge w:val="continue"/>
                  <w:tcBorders>
                    <w:top w:val="single" w:color="000000" w:sz="4" w:space="0"/>
                    <w:left w:val="single" w:color="000000" w:sz="4" w:space="0"/>
                    <w:bottom w:val="single" w:color="auto" w:sz="4" w:space="0"/>
                    <w:right w:val="single" w:color="000000" w:sz="4" w:space="0"/>
                  </w:tcBorders>
                  <w:vAlign w:val="center"/>
                </w:tcPr>
                <w:p>
                  <w:pPr>
                    <w:adjustRightInd w:val="0"/>
                    <w:snapToGrid w:val="0"/>
                    <w:jc w:val="center"/>
                    <w:rPr>
                      <w:color w:val="auto"/>
                    </w:rPr>
                  </w:pPr>
                </w:p>
              </w:tc>
              <w:tc>
                <w:tcPr>
                  <w:tcW w:w="128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20:00</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13</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47</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0.010</w:t>
                  </w:r>
                </w:p>
              </w:tc>
            </w:tr>
            <w:tr>
              <w:tblPrEx>
                <w:tblLayout w:type="fixed"/>
                <w:tblCellMar>
                  <w:top w:w="0" w:type="dxa"/>
                  <w:left w:w="108" w:type="dxa"/>
                  <w:bottom w:w="0" w:type="dxa"/>
                  <w:right w:w="108" w:type="dxa"/>
                </w:tblCellMar>
              </w:tblPrEx>
              <w:trPr>
                <w:jc w:val="center"/>
              </w:trPr>
              <w:tc>
                <w:tcPr>
                  <w:tcW w:w="4012" w:type="dxa"/>
                  <w:gridSpan w:val="3"/>
                  <w:tcBorders>
                    <w:top w:val="single" w:color="auto"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GB3095-2012</w:t>
                  </w:r>
                  <w:r>
                    <w:rPr>
                      <w:rFonts w:asciiTheme="minorEastAsia" w:hAnsiTheme="minorEastAsia" w:eastAsiaTheme="minorEastAsia"/>
                      <w:color w:val="auto"/>
                    </w:rPr>
                    <w:t>二级标准</w:t>
                  </w:r>
                </w:p>
              </w:tc>
              <w:tc>
                <w:tcPr>
                  <w:tcW w:w="149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500</w:t>
                  </w:r>
                </w:p>
              </w:tc>
              <w:tc>
                <w:tcPr>
                  <w:tcW w:w="1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200</w:t>
                  </w:r>
                </w:p>
              </w:tc>
              <w:tc>
                <w:tcPr>
                  <w:tcW w:w="15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asciiTheme="majorEastAsia" w:hAnsiTheme="majorEastAsia" w:eastAsiaTheme="majorEastAsia" w:cstheme="majorEastAsia"/>
                      <w:color w:val="auto"/>
                    </w:rPr>
                    <w:t>0.2</w:t>
                  </w:r>
                </w:p>
              </w:tc>
            </w:tr>
          </w:tbl>
          <w:p>
            <w:pPr>
              <w:pStyle w:val="43"/>
              <w:spacing w:line="240" w:lineRule="auto"/>
              <w:ind w:firstLine="436" w:firstLineChars="182"/>
              <w:jc w:val="center"/>
              <w:rPr>
                <w:rFonts w:ascii="Times New Roman" w:eastAsia="黑体"/>
                <w:color w:val="auto"/>
                <w:szCs w:val="24"/>
              </w:rPr>
            </w:pPr>
          </w:p>
          <w:p>
            <w:pPr>
              <w:pStyle w:val="43"/>
              <w:spacing w:line="240" w:lineRule="auto"/>
              <w:ind w:firstLine="0" w:firstLineChars="0"/>
              <w:jc w:val="center"/>
              <w:rPr>
                <w:rFonts w:ascii="Times New Roman" w:eastAsia="黑体"/>
                <w:color w:val="auto"/>
                <w:szCs w:val="24"/>
              </w:rPr>
            </w:pPr>
            <w:r>
              <w:rPr>
                <w:rFonts w:ascii="Times New Roman" w:eastAsia="黑体"/>
                <w:color w:val="auto"/>
                <w:szCs w:val="24"/>
              </w:rPr>
              <w:t>表13  环境空气质量</w:t>
            </w:r>
            <w:r>
              <w:rPr>
                <w:rFonts w:hint="eastAsia" w:ascii="Times New Roman" w:eastAsia="黑体"/>
                <w:color w:val="auto"/>
                <w:szCs w:val="24"/>
              </w:rPr>
              <w:t>现状24h平均值</w:t>
            </w:r>
            <w:r>
              <w:rPr>
                <w:rFonts w:ascii="Times New Roman" w:eastAsia="黑体"/>
                <w:color w:val="auto"/>
                <w:szCs w:val="24"/>
              </w:rPr>
              <w:t>监测结果一览表</w:t>
            </w:r>
          </w:p>
          <w:tbl>
            <w:tblPr>
              <w:tblStyle w:val="26"/>
              <w:tblW w:w="8778" w:type="dxa"/>
              <w:jc w:val="center"/>
              <w:tblInd w:w="0" w:type="dxa"/>
              <w:tblLayout w:type="fixed"/>
              <w:tblCellMar>
                <w:top w:w="0" w:type="dxa"/>
                <w:left w:w="108" w:type="dxa"/>
                <w:bottom w:w="0" w:type="dxa"/>
                <w:right w:w="108" w:type="dxa"/>
              </w:tblCellMar>
            </w:tblPr>
            <w:tblGrid>
              <w:gridCol w:w="970"/>
              <w:gridCol w:w="1370"/>
              <w:gridCol w:w="1538"/>
              <w:gridCol w:w="1538"/>
              <w:gridCol w:w="1539"/>
              <w:gridCol w:w="1823"/>
            </w:tblGrid>
            <w:tr>
              <w:tblPrEx>
                <w:tblLayout w:type="fixed"/>
                <w:tblCellMar>
                  <w:top w:w="0" w:type="dxa"/>
                  <w:left w:w="108" w:type="dxa"/>
                  <w:bottom w:w="0" w:type="dxa"/>
                  <w:right w:w="108" w:type="dxa"/>
                </w:tblCellMar>
              </w:tblPrEx>
              <w:trPr>
                <w:jc w:val="center"/>
              </w:trPr>
              <w:tc>
                <w:tcPr>
                  <w:tcW w:w="970" w:type="dxa"/>
                  <w:tcBorders>
                    <w:top w:val="single" w:color="000000" w:sz="4" w:space="0"/>
                    <w:left w:val="single" w:color="000000" w:sz="4" w:space="0"/>
                    <w:bottom w:val="single" w:color="000000" w:sz="4" w:space="0"/>
                    <w:right w:val="single" w:color="000000" w:sz="4" w:space="0"/>
                  </w:tcBorders>
                  <w:vAlign w:val="center"/>
                </w:tcPr>
                <w:p>
                  <w:pPr>
                    <w:tabs>
                      <w:tab w:val="left" w:pos="580"/>
                    </w:tabs>
                    <w:adjustRightInd w:val="0"/>
                    <w:snapToGrid w:val="0"/>
                    <w:jc w:val="center"/>
                    <w:rPr>
                      <w:color w:val="auto"/>
                    </w:rPr>
                  </w:pPr>
                  <w:r>
                    <w:rPr>
                      <w:color w:val="auto"/>
                    </w:rPr>
                    <w:t>点位</w:t>
                  </w:r>
                </w:p>
              </w:tc>
              <w:tc>
                <w:tcPr>
                  <w:tcW w:w="1370" w:type="dxa"/>
                  <w:tcBorders>
                    <w:top w:val="single" w:color="000000" w:sz="4" w:space="0"/>
                    <w:left w:val="single" w:color="000000" w:sz="4" w:space="0"/>
                    <w:bottom w:val="single" w:color="000000" w:sz="4" w:space="0"/>
                    <w:right w:val="single" w:color="000000" w:sz="4" w:space="0"/>
                  </w:tcBorders>
                  <w:vAlign w:val="center"/>
                </w:tcPr>
                <w:p>
                  <w:pPr>
                    <w:tabs>
                      <w:tab w:val="left" w:pos="820"/>
                    </w:tabs>
                    <w:adjustRightInd w:val="0"/>
                    <w:snapToGrid w:val="0"/>
                    <w:jc w:val="center"/>
                    <w:rPr>
                      <w:color w:val="auto"/>
                    </w:rPr>
                  </w:pPr>
                  <w:r>
                    <w:rPr>
                      <w:color w:val="auto"/>
                    </w:rPr>
                    <w:t>日期</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SO</w:t>
                  </w:r>
                  <w:r>
                    <w:rPr>
                      <w:color w:val="auto"/>
                      <w:vertAlign w:val="subscript"/>
                    </w:rPr>
                    <w:t>2</w:t>
                  </w:r>
                </w:p>
                <w:p>
                  <w:pPr>
                    <w:adjustRightInd w:val="0"/>
                    <w:snapToGrid w:val="0"/>
                    <w:jc w:val="center"/>
                    <w:rPr>
                      <w:color w:val="auto"/>
                    </w:rPr>
                  </w:pPr>
                  <w:r>
                    <w:rPr>
                      <w:color w:val="auto"/>
                    </w:rPr>
                    <w:t>（μg/m</w:t>
                  </w:r>
                  <w:r>
                    <w:rPr>
                      <w:color w:val="auto"/>
                      <w:vertAlign w:val="superscript"/>
                    </w:rPr>
                    <w:t>3</w:t>
                  </w:r>
                  <w:r>
                    <w:rPr>
                      <w:color w:val="auto"/>
                    </w:rPr>
                    <w:t>）</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NO</w:t>
                  </w:r>
                  <w:r>
                    <w:rPr>
                      <w:color w:val="auto"/>
                      <w:vertAlign w:val="subscript"/>
                    </w:rPr>
                    <w:t>2</w:t>
                  </w:r>
                </w:p>
                <w:p>
                  <w:pPr>
                    <w:adjustRightInd w:val="0"/>
                    <w:snapToGrid w:val="0"/>
                    <w:jc w:val="center"/>
                    <w:rPr>
                      <w:color w:val="auto"/>
                    </w:rPr>
                  </w:pPr>
                  <w:r>
                    <w:rPr>
                      <w:color w:val="auto"/>
                    </w:rPr>
                    <w:t>（μg/m</w:t>
                  </w:r>
                  <w:r>
                    <w:rPr>
                      <w:color w:val="auto"/>
                      <w:vertAlign w:val="superscript"/>
                    </w:rPr>
                    <w:t>3</w:t>
                  </w:r>
                  <w:r>
                    <w:rPr>
                      <w:color w:val="auto"/>
                    </w:rPr>
                    <w:t>）</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PM</w:t>
                  </w:r>
                  <w:r>
                    <w:rPr>
                      <w:color w:val="auto"/>
                      <w:vertAlign w:val="subscript"/>
                    </w:rPr>
                    <w:t>10</w:t>
                  </w:r>
                </w:p>
                <w:p>
                  <w:pPr>
                    <w:adjustRightInd w:val="0"/>
                    <w:snapToGrid w:val="0"/>
                    <w:jc w:val="center"/>
                    <w:rPr>
                      <w:color w:val="auto"/>
                    </w:rPr>
                  </w:pPr>
                  <w:r>
                    <w:rPr>
                      <w:color w:val="auto"/>
                    </w:rPr>
                    <w:t>（μg/m</w:t>
                  </w:r>
                  <w:r>
                    <w:rPr>
                      <w:color w:val="auto"/>
                      <w:vertAlign w:val="superscript"/>
                    </w:rPr>
                    <w:t>3</w:t>
                  </w:r>
                  <w:r>
                    <w:rPr>
                      <w:color w:val="auto"/>
                    </w:rPr>
                    <w:t>）</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PM</w:t>
                  </w:r>
                  <w:r>
                    <w:rPr>
                      <w:color w:val="auto"/>
                      <w:vertAlign w:val="subscript"/>
                    </w:rPr>
                    <w:t>2.5</w:t>
                  </w:r>
                </w:p>
                <w:p>
                  <w:pPr>
                    <w:adjustRightInd w:val="0"/>
                    <w:snapToGrid w:val="0"/>
                    <w:jc w:val="center"/>
                    <w:rPr>
                      <w:color w:val="auto"/>
                    </w:rPr>
                  </w:pPr>
                  <w:r>
                    <w:rPr>
                      <w:color w:val="auto"/>
                    </w:rPr>
                    <w:t>（μg/m</w:t>
                  </w:r>
                  <w:r>
                    <w:rPr>
                      <w:color w:val="auto"/>
                      <w:vertAlign w:val="superscript"/>
                    </w:rPr>
                    <w:t>3</w:t>
                  </w:r>
                  <w:r>
                    <w:rPr>
                      <w:color w:val="auto"/>
                    </w:rPr>
                    <w:t>）</w:t>
                  </w:r>
                </w:p>
              </w:tc>
            </w:tr>
            <w:tr>
              <w:tblPrEx>
                <w:tblLayout w:type="fixed"/>
                <w:tblCellMar>
                  <w:top w:w="0" w:type="dxa"/>
                  <w:left w:w="108" w:type="dxa"/>
                  <w:bottom w:w="0" w:type="dxa"/>
                  <w:right w:w="108" w:type="dxa"/>
                </w:tblCellMar>
              </w:tblPrEx>
              <w:trPr>
                <w:trHeight w:val="122" w:hRule="atLeast"/>
                <w:jc w:val="center"/>
              </w:trPr>
              <w:tc>
                <w:tcPr>
                  <w:tcW w:w="970"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1#</w:t>
                  </w:r>
                  <w:r>
                    <w:rPr>
                      <w:color w:val="auto"/>
                    </w:rPr>
                    <w:t>渚北村</w:t>
                  </w:r>
                </w:p>
              </w:tc>
              <w:tc>
                <w:tcPr>
                  <w:tcW w:w="137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07月24日</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15</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44</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54</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10</w:t>
                  </w:r>
                </w:p>
              </w:tc>
            </w:tr>
            <w:tr>
              <w:tblPrEx>
                <w:tblLayout w:type="fixed"/>
                <w:tblCellMar>
                  <w:top w:w="0" w:type="dxa"/>
                  <w:left w:w="108" w:type="dxa"/>
                  <w:bottom w:w="0" w:type="dxa"/>
                  <w:right w:w="108" w:type="dxa"/>
                </w:tblCellMar>
              </w:tblPrEx>
              <w:trPr>
                <w:jc w:val="center"/>
              </w:trPr>
              <w:tc>
                <w:tcPr>
                  <w:tcW w:w="97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37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07月25日</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12</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37</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87</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32</w:t>
                  </w:r>
                </w:p>
              </w:tc>
            </w:tr>
            <w:tr>
              <w:tblPrEx>
                <w:tblLayout w:type="fixed"/>
                <w:tblCellMar>
                  <w:top w:w="0" w:type="dxa"/>
                  <w:left w:w="108" w:type="dxa"/>
                  <w:bottom w:w="0" w:type="dxa"/>
                  <w:right w:w="108" w:type="dxa"/>
                </w:tblCellMar>
              </w:tblPrEx>
              <w:trPr>
                <w:jc w:val="center"/>
              </w:trPr>
              <w:tc>
                <w:tcPr>
                  <w:tcW w:w="97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37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07月26日</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9</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35</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86</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41</w:t>
                  </w:r>
                </w:p>
              </w:tc>
            </w:tr>
            <w:tr>
              <w:tblPrEx>
                <w:tblLayout w:type="fixed"/>
                <w:tblCellMar>
                  <w:top w:w="0" w:type="dxa"/>
                  <w:left w:w="108" w:type="dxa"/>
                  <w:bottom w:w="0" w:type="dxa"/>
                  <w:right w:w="108" w:type="dxa"/>
                </w:tblCellMar>
              </w:tblPrEx>
              <w:trPr>
                <w:jc w:val="center"/>
              </w:trPr>
              <w:tc>
                <w:tcPr>
                  <w:tcW w:w="97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37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07月27日</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15</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34</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96</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36</w:t>
                  </w:r>
                </w:p>
              </w:tc>
            </w:tr>
            <w:tr>
              <w:tblPrEx>
                <w:tblLayout w:type="fixed"/>
                <w:tblCellMar>
                  <w:top w:w="0" w:type="dxa"/>
                  <w:left w:w="108" w:type="dxa"/>
                  <w:bottom w:w="0" w:type="dxa"/>
                  <w:right w:w="108" w:type="dxa"/>
                </w:tblCellMar>
              </w:tblPrEx>
              <w:trPr>
                <w:jc w:val="center"/>
              </w:trPr>
              <w:tc>
                <w:tcPr>
                  <w:tcW w:w="97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37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07月30日</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11</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39</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54</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25</w:t>
                  </w:r>
                </w:p>
              </w:tc>
            </w:tr>
            <w:tr>
              <w:tblPrEx>
                <w:tblLayout w:type="fixed"/>
                <w:tblCellMar>
                  <w:top w:w="0" w:type="dxa"/>
                  <w:left w:w="108" w:type="dxa"/>
                  <w:bottom w:w="0" w:type="dxa"/>
                  <w:right w:w="108" w:type="dxa"/>
                </w:tblCellMar>
              </w:tblPrEx>
              <w:trPr>
                <w:jc w:val="center"/>
              </w:trPr>
              <w:tc>
                <w:tcPr>
                  <w:tcW w:w="97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37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07月31日</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9</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40</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71</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31</w:t>
                  </w:r>
                </w:p>
              </w:tc>
            </w:tr>
            <w:tr>
              <w:tblPrEx>
                <w:tblLayout w:type="fixed"/>
                <w:tblCellMar>
                  <w:top w:w="0" w:type="dxa"/>
                  <w:left w:w="108" w:type="dxa"/>
                  <w:bottom w:w="0" w:type="dxa"/>
                  <w:right w:w="108" w:type="dxa"/>
                </w:tblCellMar>
              </w:tblPrEx>
              <w:trPr>
                <w:jc w:val="center"/>
              </w:trPr>
              <w:tc>
                <w:tcPr>
                  <w:tcW w:w="97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37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08月01日</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37</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81</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47</w:t>
                  </w:r>
                </w:p>
              </w:tc>
            </w:tr>
            <w:tr>
              <w:tblPrEx>
                <w:tblLayout w:type="fixed"/>
                <w:tblCellMar>
                  <w:top w:w="0" w:type="dxa"/>
                  <w:left w:w="108" w:type="dxa"/>
                  <w:bottom w:w="0" w:type="dxa"/>
                  <w:right w:w="108" w:type="dxa"/>
                </w:tblCellMar>
              </w:tblPrEx>
              <w:trPr>
                <w:jc w:val="center"/>
              </w:trPr>
              <w:tc>
                <w:tcPr>
                  <w:tcW w:w="970"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2#</w:t>
                  </w:r>
                  <w:r>
                    <w:rPr>
                      <w:color w:val="auto"/>
                    </w:rPr>
                    <w:t>龙门镇</w:t>
                  </w:r>
                </w:p>
              </w:tc>
              <w:tc>
                <w:tcPr>
                  <w:tcW w:w="137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07月24日</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13</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45</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40</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13</w:t>
                  </w:r>
                </w:p>
              </w:tc>
            </w:tr>
            <w:tr>
              <w:tblPrEx>
                <w:tblLayout w:type="fixed"/>
                <w:tblCellMar>
                  <w:top w:w="0" w:type="dxa"/>
                  <w:left w:w="108" w:type="dxa"/>
                  <w:bottom w:w="0" w:type="dxa"/>
                  <w:right w:w="108" w:type="dxa"/>
                </w:tblCellMar>
              </w:tblPrEx>
              <w:trPr>
                <w:jc w:val="center"/>
              </w:trPr>
              <w:tc>
                <w:tcPr>
                  <w:tcW w:w="97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37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07月25日</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15</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33</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84</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35</w:t>
                  </w:r>
                </w:p>
              </w:tc>
            </w:tr>
            <w:tr>
              <w:tblPrEx>
                <w:tblLayout w:type="fixed"/>
                <w:tblCellMar>
                  <w:top w:w="0" w:type="dxa"/>
                  <w:left w:w="108" w:type="dxa"/>
                  <w:bottom w:w="0" w:type="dxa"/>
                  <w:right w:w="108" w:type="dxa"/>
                </w:tblCellMar>
              </w:tblPrEx>
              <w:trPr>
                <w:jc w:val="center"/>
              </w:trPr>
              <w:tc>
                <w:tcPr>
                  <w:tcW w:w="97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37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07月26日</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11</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35</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88</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41</w:t>
                  </w:r>
                </w:p>
              </w:tc>
            </w:tr>
            <w:tr>
              <w:tblPrEx>
                <w:tblLayout w:type="fixed"/>
                <w:tblCellMar>
                  <w:top w:w="0" w:type="dxa"/>
                  <w:left w:w="108" w:type="dxa"/>
                  <w:bottom w:w="0" w:type="dxa"/>
                  <w:right w:w="108" w:type="dxa"/>
                </w:tblCellMar>
              </w:tblPrEx>
              <w:trPr>
                <w:jc w:val="center"/>
              </w:trPr>
              <w:tc>
                <w:tcPr>
                  <w:tcW w:w="97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37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07月27日</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34</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98</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40</w:t>
                  </w:r>
                </w:p>
              </w:tc>
            </w:tr>
            <w:tr>
              <w:tblPrEx>
                <w:tblLayout w:type="fixed"/>
                <w:tblCellMar>
                  <w:top w:w="0" w:type="dxa"/>
                  <w:left w:w="108" w:type="dxa"/>
                  <w:bottom w:w="0" w:type="dxa"/>
                  <w:right w:w="108" w:type="dxa"/>
                </w:tblCellMar>
              </w:tblPrEx>
              <w:trPr>
                <w:jc w:val="center"/>
              </w:trPr>
              <w:tc>
                <w:tcPr>
                  <w:tcW w:w="97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37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07月30日</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10</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50</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30</w:t>
                  </w:r>
                </w:p>
              </w:tc>
            </w:tr>
            <w:tr>
              <w:tblPrEx>
                <w:tblLayout w:type="fixed"/>
                <w:tblCellMar>
                  <w:top w:w="0" w:type="dxa"/>
                  <w:left w:w="108" w:type="dxa"/>
                  <w:bottom w:w="0" w:type="dxa"/>
                  <w:right w:w="108" w:type="dxa"/>
                </w:tblCellMar>
              </w:tblPrEx>
              <w:trPr>
                <w:jc w:val="center"/>
              </w:trPr>
              <w:tc>
                <w:tcPr>
                  <w:tcW w:w="97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37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07月31日</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11</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39</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74</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29</w:t>
                  </w:r>
                </w:p>
              </w:tc>
            </w:tr>
            <w:tr>
              <w:tblPrEx>
                <w:tblLayout w:type="fixed"/>
                <w:tblCellMar>
                  <w:top w:w="0" w:type="dxa"/>
                  <w:left w:w="108" w:type="dxa"/>
                  <w:bottom w:w="0" w:type="dxa"/>
                  <w:right w:w="108" w:type="dxa"/>
                </w:tblCellMar>
              </w:tblPrEx>
              <w:trPr>
                <w:jc w:val="center"/>
              </w:trPr>
              <w:tc>
                <w:tcPr>
                  <w:tcW w:w="97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37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08月01日</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14</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49</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78</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46</w:t>
                  </w:r>
                </w:p>
              </w:tc>
            </w:tr>
            <w:tr>
              <w:tblPrEx>
                <w:tblLayout w:type="fixed"/>
                <w:tblCellMar>
                  <w:top w:w="0" w:type="dxa"/>
                  <w:left w:w="108" w:type="dxa"/>
                  <w:bottom w:w="0" w:type="dxa"/>
                  <w:right w:w="108" w:type="dxa"/>
                </w:tblCellMar>
              </w:tblPrEx>
              <w:trPr>
                <w:jc w:val="center"/>
              </w:trPr>
              <w:tc>
                <w:tcPr>
                  <w:tcW w:w="2340" w:type="dxa"/>
                  <w:gridSpan w:val="2"/>
                  <w:tcBorders>
                    <w:top w:val="single" w:color="000000" w:sz="4" w:space="0"/>
                    <w:left w:val="single" w:color="000000" w:sz="4" w:space="0"/>
                    <w:bottom w:val="single" w:color="000000" w:sz="4" w:space="0"/>
                    <w:right w:val="single" w:color="000000" w:sz="4" w:space="0"/>
                  </w:tcBorders>
                  <w:vAlign w:val="center"/>
                </w:tcPr>
                <w:p>
                  <w:pPr>
                    <w:pStyle w:val="75"/>
                    <w:spacing w:line="360" w:lineRule="exact"/>
                    <w:ind w:firstLine="0"/>
                    <w:jc w:val="center"/>
                    <w:rPr>
                      <w:color w:val="auto"/>
                    </w:rPr>
                  </w:pPr>
                  <w:r>
                    <w:rPr>
                      <w:rFonts w:ascii="Times New Roman" w:cs="Times New Roman"/>
                      <w:color w:val="auto"/>
                      <w:sz w:val="21"/>
                      <w:szCs w:val="21"/>
                    </w:rPr>
                    <w:t>GB3095-2012</w:t>
                  </w:r>
                  <w:r>
                    <w:rPr>
                      <w:rFonts w:cs="Times New Roman" w:asciiTheme="minorEastAsia" w:hAnsiTheme="minorEastAsia" w:eastAsiaTheme="minorEastAsia"/>
                      <w:color w:val="auto"/>
                      <w:sz w:val="21"/>
                      <w:szCs w:val="21"/>
                    </w:rPr>
                    <w:t>二级标准</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150</w:t>
                  </w:r>
                </w:p>
              </w:tc>
              <w:tc>
                <w:tcPr>
                  <w:tcW w:w="15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80</w:t>
                  </w:r>
                </w:p>
              </w:tc>
              <w:tc>
                <w:tcPr>
                  <w:tcW w:w="1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150</w:t>
                  </w:r>
                </w:p>
              </w:tc>
              <w:tc>
                <w:tcPr>
                  <w:tcW w:w="182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75</w:t>
                  </w:r>
                </w:p>
              </w:tc>
            </w:tr>
          </w:tbl>
          <w:p>
            <w:pPr>
              <w:spacing w:line="360" w:lineRule="auto"/>
              <w:ind w:firstLine="480" w:firstLineChars="200"/>
              <w:rPr>
                <w:color w:val="auto"/>
                <w:sz w:val="24"/>
                <w:szCs w:val="24"/>
              </w:rPr>
            </w:pPr>
            <w:r>
              <w:rPr>
                <w:color w:val="auto"/>
                <w:sz w:val="24"/>
                <w:szCs w:val="24"/>
              </w:rPr>
              <w:t>由表12</w:t>
            </w:r>
            <w:r>
              <w:rPr>
                <w:rFonts w:hint="eastAsia"/>
                <w:color w:val="auto"/>
                <w:sz w:val="24"/>
                <w:szCs w:val="24"/>
              </w:rPr>
              <w:t>~</w:t>
            </w:r>
            <w:r>
              <w:rPr>
                <w:color w:val="auto"/>
                <w:sz w:val="24"/>
                <w:szCs w:val="24"/>
              </w:rPr>
              <w:t>13环境空气质量现状监测结果可以看出，评价范围内SO</w:t>
            </w:r>
            <w:r>
              <w:rPr>
                <w:color w:val="auto"/>
                <w:sz w:val="24"/>
                <w:szCs w:val="24"/>
                <w:vertAlign w:val="subscript"/>
              </w:rPr>
              <w:t>2</w:t>
            </w:r>
            <w:r>
              <w:rPr>
                <w:rFonts w:hint="eastAsia"/>
                <w:color w:val="auto"/>
                <w:sz w:val="24"/>
                <w:szCs w:val="24"/>
              </w:rPr>
              <w:t>、</w:t>
            </w:r>
            <w:r>
              <w:rPr>
                <w:color w:val="auto"/>
                <w:sz w:val="24"/>
                <w:szCs w:val="24"/>
              </w:rPr>
              <w:t>NO</w:t>
            </w:r>
            <w:r>
              <w:rPr>
                <w:color w:val="auto"/>
                <w:sz w:val="24"/>
                <w:szCs w:val="24"/>
                <w:vertAlign w:val="subscript"/>
              </w:rPr>
              <w:t>2</w:t>
            </w:r>
            <w:r>
              <w:rPr>
                <w:color w:val="auto"/>
                <w:sz w:val="24"/>
                <w:szCs w:val="24"/>
              </w:rPr>
              <w:t>的1小时平均浓</w:t>
            </w:r>
            <w:r>
              <w:rPr>
                <w:rFonts w:hint="eastAsia"/>
                <w:color w:val="auto"/>
                <w:sz w:val="24"/>
                <w:szCs w:val="24"/>
              </w:rPr>
              <w:t>和24h平均浓度以及</w:t>
            </w:r>
            <w:r>
              <w:rPr>
                <w:color w:val="auto"/>
                <w:sz w:val="24"/>
                <w:szCs w:val="24"/>
              </w:rPr>
              <w:t>PM</w:t>
            </w:r>
            <w:r>
              <w:rPr>
                <w:color w:val="auto"/>
                <w:sz w:val="24"/>
                <w:szCs w:val="24"/>
                <w:vertAlign w:val="subscript"/>
              </w:rPr>
              <w:t>10</w:t>
            </w:r>
            <w:r>
              <w:rPr>
                <w:rFonts w:hint="eastAsia"/>
                <w:color w:val="auto"/>
                <w:sz w:val="24"/>
                <w:szCs w:val="24"/>
              </w:rPr>
              <w:t>、</w:t>
            </w:r>
            <w:r>
              <w:rPr>
                <w:color w:val="auto"/>
                <w:sz w:val="24"/>
                <w:szCs w:val="24"/>
              </w:rPr>
              <w:t>PM</w:t>
            </w:r>
            <w:r>
              <w:rPr>
                <w:rFonts w:hint="eastAsia"/>
                <w:color w:val="auto"/>
                <w:sz w:val="24"/>
                <w:szCs w:val="24"/>
                <w:vertAlign w:val="subscript"/>
              </w:rPr>
              <w:t>2.5</w:t>
            </w:r>
            <w:r>
              <w:rPr>
                <w:rFonts w:hint="eastAsia"/>
                <w:color w:val="auto"/>
                <w:sz w:val="24"/>
                <w:szCs w:val="24"/>
              </w:rPr>
              <w:t>的24小时平均浓度</w:t>
            </w:r>
            <w:r>
              <w:rPr>
                <w:color w:val="auto"/>
                <w:sz w:val="24"/>
                <w:szCs w:val="24"/>
              </w:rPr>
              <w:t>均符合《环境空气质量标准》（GB3095-2012）二级标准限值；NH</w:t>
            </w:r>
            <w:r>
              <w:rPr>
                <w:color w:val="auto"/>
                <w:sz w:val="24"/>
                <w:szCs w:val="24"/>
                <w:vertAlign w:val="subscript"/>
              </w:rPr>
              <w:t>3</w:t>
            </w:r>
            <w:r>
              <w:rPr>
                <w:color w:val="auto"/>
                <w:sz w:val="24"/>
                <w:szCs w:val="24"/>
              </w:rPr>
              <w:t>一次浓度监测值均符合《工业企业设计卫生标准》（TJ36-79）中居住区大气中有害物质最高容许浓度限值</w:t>
            </w:r>
            <w:r>
              <w:rPr>
                <w:rFonts w:hint="eastAsia"/>
                <w:color w:val="auto"/>
                <w:sz w:val="24"/>
                <w:szCs w:val="24"/>
              </w:rPr>
              <w:t>。</w:t>
            </w:r>
          </w:p>
          <w:p>
            <w:pPr>
              <w:snapToGrid w:val="0"/>
              <w:spacing w:line="360" w:lineRule="auto"/>
              <w:ind w:firstLine="482" w:firstLineChars="200"/>
              <w:rPr>
                <w:b/>
                <w:bCs/>
                <w:color w:val="auto"/>
                <w:spacing w:val="-20"/>
                <w:kern w:val="0"/>
              </w:rPr>
            </w:pPr>
            <w:r>
              <w:rPr>
                <w:b/>
                <w:bCs/>
                <w:color w:val="auto"/>
                <w:sz w:val="24"/>
                <w:szCs w:val="24"/>
              </w:rPr>
              <w:t>二、声环境质量现状</w:t>
            </w:r>
          </w:p>
          <w:p>
            <w:pPr>
              <w:pStyle w:val="45"/>
              <w:rPr>
                <w:color w:val="auto"/>
                <w:szCs w:val="24"/>
              </w:rPr>
            </w:pPr>
            <w:r>
              <w:rPr>
                <w:color w:val="auto"/>
                <w:szCs w:val="24"/>
              </w:rPr>
              <w:fldChar w:fldCharType="begin"/>
            </w:r>
            <w:r>
              <w:rPr>
                <w:rFonts w:hint="eastAsia"/>
                <w:color w:val="auto"/>
                <w:szCs w:val="24"/>
              </w:rPr>
              <w:instrText xml:space="preserve">= 1 \* GB2</w:instrText>
            </w:r>
            <w:r>
              <w:rPr>
                <w:color w:val="auto"/>
                <w:szCs w:val="24"/>
              </w:rPr>
              <w:fldChar w:fldCharType="separate"/>
            </w:r>
            <w:r>
              <w:rPr>
                <w:rFonts w:hint="eastAsia"/>
                <w:color w:val="auto"/>
                <w:szCs w:val="24"/>
              </w:rPr>
              <w:t>⑴</w:t>
            </w:r>
            <w:r>
              <w:rPr>
                <w:color w:val="auto"/>
                <w:szCs w:val="24"/>
              </w:rPr>
              <w:fldChar w:fldCharType="end"/>
            </w:r>
            <w:r>
              <w:rPr>
                <w:color w:val="auto"/>
                <w:szCs w:val="24"/>
              </w:rPr>
              <w:t>监测点位</w:t>
            </w:r>
          </w:p>
          <w:p>
            <w:pPr>
              <w:pStyle w:val="45"/>
              <w:rPr>
                <w:color w:val="auto"/>
                <w:szCs w:val="24"/>
              </w:rPr>
            </w:pPr>
            <w:r>
              <w:rPr>
                <w:color w:val="auto"/>
                <w:szCs w:val="24"/>
              </w:rPr>
              <w:t>本次声环境质量监测</w:t>
            </w:r>
            <w:r>
              <w:rPr>
                <w:rFonts w:hint="eastAsia"/>
                <w:color w:val="auto"/>
                <w:szCs w:val="24"/>
              </w:rPr>
              <w:t>于厂界南侧</w:t>
            </w:r>
            <w:r>
              <w:rPr>
                <w:color w:val="auto"/>
                <w:szCs w:val="24"/>
              </w:rPr>
              <w:t>共布设</w:t>
            </w:r>
            <w:r>
              <w:rPr>
                <w:rFonts w:hint="eastAsia"/>
                <w:color w:val="auto"/>
                <w:szCs w:val="24"/>
              </w:rPr>
              <w:t>3</w:t>
            </w:r>
            <w:r>
              <w:rPr>
                <w:color w:val="auto"/>
                <w:szCs w:val="24"/>
              </w:rPr>
              <w:t>个监测点位</w:t>
            </w:r>
            <w:r>
              <w:rPr>
                <w:rFonts w:hint="eastAsia"/>
                <w:color w:val="auto"/>
                <w:szCs w:val="24"/>
              </w:rPr>
              <w:t>（因为项目北、西、东侧紧邻陕西龙门钢铁（集团）有限责任公司生产区，主要关注南侧敏感点下峪口村）</w:t>
            </w:r>
            <w:r>
              <w:rPr>
                <w:color w:val="auto"/>
                <w:szCs w:val="24"/>
              </w:rPr>
              <w:t>，具体布设位置见图1；</w:t>
            </w:r>
          </w:p>
          <w:p>
            <w:pPr>
              <w:spacing w:line="360" w:lineRule="auto"/>
              <w:ind w:firstLine="480" w:firstLineChars="200"/>
              <w:rPr>
                <w:color w:val="auto"/>
                <w:sz w:val="24"/>
                <w:szCs w:val="24"/>
              </w:rPr>
            </w:pPr>
            <w:r>
              <w:rPr>
                <w:color w:val="auto"/>
                <w:sz w:val="24"/>
                <w:szCs w:val="24"/>
              </w:rPr>
              <w:fldChar w:fldCharType="begin"/>
            </w:r>
            <w:r>
              <w:rPr>
                <w:rFonts w:hint="eastAsia"/>
                <w:color w:val="auto"/>
                <w:sz w:val="24"/>
                <w:szCs w:val="24"/>
              </w:rPr>
              <w:instrText xml:space="preserve">= 2 \* GB2</w:instrText>
            </w:r>
            <w:r>
              <w:rPr>
                <w:color w:val="auto"/>
                <w:sz w:val="24"/>
                <w:szCs w:val="24"/>
              </w:rPr>
              <w:fldChar w:fldCharType="separate"/>
            </w:r>
            <w:r>
              <w:rPr>
                <w:rFonts w:hint="eastAsia"/>
                <w:color w:val="auto"/>
                <w:sz w:val="24"/>
                <w:szCs w:val="24"/>
              </w:rPr>
              <w:t>⑵</w:t>
            </w:r>
            <w:r>
              <w:rPr>
                <w:color w:val="auto"/>
                <w:sz w:val="24"/>
                <w:szCs w:val="24"/>
              </w:rPr>
              <w:fldChar w:fldCharType="end"/>
            </w:r>
            <w:r>
              <w:rPr>
                <w:color w:val="auto"/>
                <w:sz w:val="24"/>
                <w:szCs w:val="24"/>
              </w:rPr>
              <w:t>监测项目</w:t>
            </w:r>
          </w:p>
          <w:p>
            <w:pPr>
              <w:spacing w:line="360" w:lineRule="auto"/>
              <w:ind w:firstLine="480" w:firstLineChars="200"/>
              <w:rPr>
                <w:color w:val="auto"/>
                <w:sz w:val="24"/>
                <w:szCs w:val="24"/>
              </w:rPr>
            </w:pPr>
            <w:r>
              <w:rPr>
                <w:color w:val="auto"/>
                <w:sz w:val="24"/>
                <w:szCs w:val="24"/>
              </w:rPr>
              <w:t>等效连续A声级L</w:t>
            </w:r>
            <w:r>
              <w:rPr>
                <w:color w:val="auto"/>
                <w:sz w:val="24"/>
                <w:szCs w:val="24"/>
                <w:vertAlign w:val="subscript"/>
              </w:rPr>
              <w:t>Aeq</w:t>
            </w:r>
            <w:r>
              <w:rPr>
                <w:color w:val="auto"/>
                <w:sz w:val="24"/>
                <w:szCs w:val="24"/>
              </w:rPr>
              <w:t>；</w:t>
            </w:r>
          </w:p>
          <w:p>
            <w:pPr>
              <w:snapToGrid w:val="0"/>
              <w:spacing w:line="360" w:lineRule="auto"/>
              <w:ind w:firstLine="480" w:firstLineChars="200"/>
              <w:rPr>
                <w:color w:val="auto"/>
                <w:sz w:val="24"/>
                <w:szCs w:val="24"/>
              </w:rPr>
            </w:pPr>
            <w:r>
              <w:rPr>
                <w:color w:val="auto"/>
                <w:sz w:val="24"/>
                <w:szCs w:val="24"/>
              </w:rPr>
              <w:fldChar w:fldCharType="begin"/>
            </w:r>
            <w:r>
              <w:rPr>
                <w:rFonts w:hint="eastAsia"/>
                <w:color w:val="auto"/>
                <w:sz w:val="24"/>
                <w:szCs w:val="24"/>
              </w:rPr>
              <w:instrText xml:space="preserve">= 3 \* GB2</w:instrText>
            </w:r>
            <w:r>
              <w:rPr>
                <w:color w:val="auto"/>
                <w:sz w:val="24"/>
                <w:szCs w:val="24"/>
              </w:rPr>
              <w:fldChar w:fldCharType="separate"/>
            </w:r>
            <w:r>
              <w:rPr>
                <w:rFonts w:hint="eastAsia"/>
                <w:color w:val="auto"/>
                <w:sz w:val="24"/>
                <w:szCs w:val="24"/>
              </w:rPr>
              <w:t>⑶</w:t>
            </w:r>
            <w:r>
              <w:rPr>
                <w:color w:val="auto"/>
                <w:sz w:val="24"/>
                <w:szCs w:val="24"/>
              </w:rPr>
              <w:fldChar w:fldCharType="end"/>
            </w:r>
            <w:r>
              <w:rPr>
                <w:color w:val="auto"/>
                <w:sz w:val="24"/>
                <w:szCs w:val="24"/>
              </w:rPr>
              <w:t>监测时间及频次</w:t>
            </w:r>
          </w:p>
          <w:p>
            <w:pPr>
              <w:snapToGrid w:val="0"/>
              <w:spacing w:line="360" w:lineRule="auto"/>
              <w:ind w:firstLine="480" w:firstLineChars="200"/>
              <w:rPr>
                <w:color w:val="auto"/>
                <w:sz w:val="24"/>
                <w:szCs w:val="24"/>
              </w:rPr>
            </w:pPr>
            <w:r>
              <w:rPr>
                <w:color w:val="auto"/>
                <w:sz w:val="24"/>
                <w:szCs w:val="24"/>
              </w:rPr>
              <w:t>201</w:t>
            </w:r>
            <w:r>
              <w:rPr>
                <w:rFonts w:hint="eastAsia"/>
                <w:color w:val="auto"/>
                <w:sz w:val="24"/>
                <w:szCs w:val="24"/>
              </w:rPr>
              <w:t>8</w:t>
            </w:r>
            <w:r>
              <w:rPr>
                <w:color w:val="auto"/>
                <w:sz w:val="24"/>
                <w:szCs w:val="24"/>
              </w:rPr>
              <w:t>年</w:t>
            </w:r>
            <w:r>
              <w:rPr>
                <w:rFonts w:hint="eastAsia"/>
                <w:color w:val="auto"/>
                <w:sz w:val="24"/>
                <w:szCs w:val="24"/>
              </w:rPr>
              <w:t>3</w:t>
            </w:r>
            <w:r>
              <w:rPr>
                <w:color w:val="auto"/>
                <w:sz w:val="24"/>
                <w:szCs w:val="24"/>
              </w:rPr>
              <w:t>月</w:t>
            </w:r>
            <w:r>
              <w:rPr>
                <w:rFonts w:hint="eastAsia"/>
                <w:color w:val="auto"/>
                <w:sz w:val="24"/>
                <w:szCs w:val="24"/>
              </w:rPr>
              <w:t>29</w:t>
            </w:r>
            <w:r>
              <w:rPr>
                <w:color w:val="auto"/>
                <w:sz w:val="24"/>
                <w:szCs w:val="24"/>
              </w:rPr>
              <w:t>日</w:t>
            </w:r>
            <w:r>
              <w:rPr>
                <w:rFonts w:hint="eastAsia"/>
                <w:color w:val="auto"/>
                <w:sz w:val="24"/>
                <w:szCs w:val="24"/>
              </w:rPr>
              <w:t>，</w:t>
            </w:r>
            <w:r>
              <w:rPr>
                <w:color w:val="auto"/>
                <w:sz w:val="24"/>
                <w:szCs w:val="24"/>
              </w:rPr>
              <w:t>昼夜两时段各监测1次；</w:t>
            </w:r>
          </w:p>
          <w:p>
            <w:pPr>
              <w:snapToGrid w:val="0"/>
              <w:spacing w:line="360" w:lineRule="auto"/>
              <w:ind w:firstLine="480" w:firstLineChars="200"/>
              <w:rPr>
                <w:color w:val="auto"/>
                <w:sz w:val="24"/>
                <w:szCs w:val="24"/>
              </w:rPr>
            </w:pPr>
            <w:r>
              <w:rPr>
                <w:color w:val="auto"/>
                <w:sz w:val="24"/>
                <w:szCs w:val="24"/>
              </w:rPr>
              <w:fldChar w:fldCharType="begin"/>
            </w:r>
            <w:r>
              <w:rPr>
                <w:rFonts w:hint="eastAsia"/>
                <w:color w:val="auto"/>
                <w:sz w:val="24"/>
                <w:szCs w:val="24"/>
              </w:rPr>
              <w:instrText xml:space="preserve">= 4 \* GB2</w:instrText>
            </w:r>
            <w:r>
              <w:rPr>
                <w:color w:val="auto"/>
                <w:sz w:val="24"/>
                <w:szCs w:val="24"/>
              </w:rPr>
              <w:fldChar w:fldCharType="separate"/>
            </w:r>
            <w:r>
              <w:rPr>
                <w:rFonts w:hint="eastAsia"/>
                <w:color w:val="auto"/>
                <w:sz w:val="24"/>
                <w:szCs w:val="24"/>
              </w:rPr>
              <w:t>⑷</w:t>
            </w:r>
            <w:r>
              <w:rPr>
                <w:color w:val="auto"/>
                <w:sz w:val="24"/>
                <w:szCs w:val="24"/>
              </w:rPr>
              <w:fldChar w:fldCharType="end"/>
            </w:r>
            <w:r>
              <w:rPr>
                <w:color w:val="auto"/>
                <w:sz w:val="24"/>
                <w:szCs w:val="24"/>
              </w:rPr>
              <w:t>监测结果及评价</w:t>
            </w:r>
          </w:p>
          <w:p>
            <w:pPr>
              <w:snapToGrid w:val="0"/>
              <w:spacing w:line="360" w:lineRule="auto"/>
              <w:ind w:firstLine="480" w:firstLineChars="200"/>
              <w:rPr>
                <w:color w:val="auto"/>
                <w:sz w:val="24"/>
                <w:szCs w:val="24"/>
              </w:rPr>
            </w:pPr>
            <w:r>
              <w:rPr>
                <w:color w:val="auto"/>
                <w:sz w:val="24"/>
                <w:szCs w:val="24"/>
              </w:rPr>
              <w:t>声环境质量监测结果见表14。</w:t>
            </w:r>
          </w:p>
          <w:p>
            <w:pPr>
              <w:pStyle w:val="19"/>
              <w:tabs>
                <w:tab w:val="left" w:pos="-900"/>
              </w:tabs>
              <w:spacing w:after="0" w:line="360" w:lineRule="auto"/>
              <w:ind w:left="0" w:leftChars="0"/>
              <w:jc w:val="center"/>
              <w:rPr>
                <w:rFonts w:eastAsia="黑体"/>
                <w:color w:val="auto"/>
                <w:sz w:val="24"/>
                <w:szCs w:val="24"/>
              </w:rPr>
            </w:pPr>
            <w:r>
              <w:rPr>
                <w:color w:val="auto"/>
              </w:rPr>
              <w:object>
                <v:shape id="_x0000_i1025" o:spt="75" type="#_x0000_t75" style="height:225pt;width:312.6pt;" o:ole="t" filled="f" o:preferrelative="t" stroked="f" coordsize="21600,21600">
                  <v:path/>
                  <v:fill on="f" focussize="0,0"/>
                  <v:stroke on="f"/>
                  <v:imagedata r:id="rId9" o:title=""/>
                  <o:lock v:ext="edit" aspectratio="t"/>
                  <w10:wrap type="none"/>
                  <w10:anchorlock/>
                </v:shape>
                <o:OLEObject Type="Embed" ProgID="Visio.Drawing.11" ShapeID="_x0000_i1025" DrawAspect="Content" ObjectID="_1468075726" r:id="rId8">
                  <o:LockedField>false</o:LockedField>
                </o:OLEObject>
              </w:object>
            </w:r>
          </w:p>
          <w:p>
            <w:pPr>
              <w:pStyle w:val="19"/>
              <w:tabs>
                <w:tab w:val="left" w:pos="-900"/>
              </w:tabs>
              <w:spacing w:after="0" w:line="360" w:lineRule="auto"/>
              <w:ind w:left="0" w:leftChars="0"/>
              <w:jc w:val="center"/>
              <w:rPr>
                <w:rFonts w:eastAsia="黑体"/>
                <w:color w:val="auto"/>
                <w:sz w:val="24"/>
                <w:szCs w:val="24"/>
              </w:rPr>
            </w:pPr>
            <w:r>
              <w:rPr>
                <w:rFonts w:eastAsia="黑体"/>
                <w:color w:val="auto"/>
                <w:sz w:val="24"/>
                <w:szCs w:val="24"/>
              </w:rPr>
              <w:t>图2  声环境质量现状监测点位示意图</w:t>
            </w:r>
          </w:p>
          <w:p>
            <w:pPr>
              <w:tabs>
                <w:tab w:val="left" w:pos="3375"/>
              </w:tabs>
              <w:jc w:val="center"/>
              <w:rPr>
                <w:rFonts w:eastAsia="黑体"/>
                <w:color w:val="auto"/>
                <w:sz w:val="24"/>
                <w:szCs w:val="24"/>
              </w:rPr>
            </w:pPr>
            <w:r>
              <w:rPr>
                <w:rFonts w:eastAsia="黑体"/>
                <w:color w:val="auto"/>
                <w:sz w:val="24"/>
                <w:szCs w:val="24"/>
              </w:rPr>
              <w:t>表14  声环境质量现状监测结果一览表单位：dB(A)</w:t>
            </w:r>
          </w:p>
          <w:tbl>
            <w:tblPr>
              <w:tblStyle w:val="26"/>
              <w:tblW w:w="8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7"/>
              <w:gridCol w:w="2835"/>
              <w:gridCol w:w="1413"/>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监测时间</w:t>
                  </w:r>
                </w:p>
              </w:tc>
              <w:tc>
                <w:tcPr>
                  <w:tcW w:w="283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监测点位</w:t>
                  </w:r>
                </w:p>
              </w:tc>
              <w:tc>
                <w:tcPr>
                  <w:tcW w:w="282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11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p>
              </w:tc>
              <w:tc>
                <w:tcPr>
                  <w:tcW w:w="2835"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p>
              </w:tc>
              <w:tc>
                <w:tcPr>
                  <w:tcW w:w="14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昼间</w:t>
                  </w:r>
                </w:p>
              </w:tc>
              <w:tc>
                <w:tcPr>
                  <w:tcW w:w="14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rFonts w:hint="eastAsia"/>
                      <w:color w:val="auto"/>
                    </w:rPr>
                    <w:t>2018年3月29日</w:t>
                  </w:r>
                </w:p>
              </w:tc>
              <w:tc>
                <w:tcPr>
                  <w:tcW w:w="283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1#</w:t>
                  </w:r>
                </w:p>
              </w:tc>
              <w:tc>
                <w:tcPr>
                  <w:tcW w:w="141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59.5</w:t>
                  </w:r>
                </w:p>
              </w:tc>
              <w:tc>
                <w:tcPr>
                  <w:tcW w:w="141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p>
              </w:tc>
              <w:tc>
                <w:tcPr>
                  <w:tcW w:w="283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rFonts w:hint="eastAsia"/>
                      <w:color w:val="auto"/>
                    </w:rPr>
                    <w:t>2</w:t>
                  </w:r>
                  <w:r>
                    <w:rPr>
                      <w:color w:val="auto"/>
                    </w:rPr>
                    <w:t>#</w:t>
                  </w:r>
                </w:p>
              </w:tc>
              <w:tc>
                <w:tcPr>
                  <w:tcW w:w="141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59</w:t>
                  </w:r>
                  <w:r>
                    <w:rPr>
                      <w:color w:val="auto"/>
                    </w:rPr>
                    <w:t>.2</w:t>
                  </w:r>
                </w:p>
              </w:tc>
              <w:tc>
                <w:tcPr>
                  <w:tcW w:w="141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trPr>
              <w:tc>
                <w:tcPr>
                  <w:tcW w:w="311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p>
              </w:tc>
              <w:tc>
                <w:tcPr>
                  <w:tcW w:w="2835" w:type="dxa"/>
                  <w:tcBorders>
                    <w:top w:val="single" w:color="auto" w:sz="4" w:space="0"/>
                    <w:left w:val="single" w:color="auto" w:sz="4" w:space="0"/>
                    <w:right w:val="single" w:color="auto" w:sz="4" w:space="0"/>
                  </w:tcBorders>
                  <w:vAlign w:val="center"/>
                </w:tcPr>
                <w:p>
                  <w:pPr>
                    <w:adjustRightInd w:val="0"/>
                    <w:snapToGrid w:val="0"/>
                    <w:jc w:val="center"/>
                    <w:rPr>
                      <w:color w:val="auto"/>
                    </w:rPr>
                  </w:pPr>
                  <w:r>
                    <w:rPr>
                      <w:color w:val="auto"/>
                    </w:rPr>
                    <w:t xml:space="preserve">3# </w:t>
                  </w:r>
                </w:p>
              </w:tc>
              <w:tc>
                <w:tcPr>
                  <w:tcW w:w="1413" w:type="dxa"/>
                  <w:tcBorders>
                    <w:top w:val="single" w:color="auto" w:sz="4" w:space="0"/>
                    <w:left w:val="single" w:color="auto" w:sz="4" w:space="0"/>
                    <w:right w:val="single" w:color="auto" w:sz="4" w:space="0"/>
                  </w:tcBorders>
                  <w:vAlign w:val="center"/>
                </w:tcPr>
                <w:p>
                  <w:pPr>
                    <w:jc w:val="center"/>
                    <w:rPr>
                      <w:color w:val="auto"/>
                    </w:rPr>
                  </w:pPr>
                  <w:r>
                    <w:rPr>
                      <w:rFonts w:hint="eastAsia"/>
                      <w:color w:val="auto"/>
                    </w:rPr>
                    <w:t>59.2</w:t>
                  </w:r>
                </w:p>
              </w:tc>
              <w:tc>
                <w:tcPr>
                  <w:tcW w:w="1413" w:type="dxa"/>
                  <w:tcBorders>
                    <w:top w:val="single" w:color="auto" w:sz="4" w:space="0"/>
                    <w:left w:val="single" w:color="auto" w:sz="4" w:space="0"/>
                    <w:right w:val="single" w:color="auto" w:sz="4" w:space="0"/>
                  </w:tcBorders>
                  <w:vAlign w:val="center"/>
                </w:tcPr>
                <w:p>
                  <w:pPr>
                    <w:jc w:val="center"/>
                    <w:rPr>
                      <w:color w:val="auto"/>
                    </w:rPr>
                  </w:pPr>
                  <w:r>
                    <w:rPr>
                      <w:rFonts w:hint="eastAsia"/>
                      <w:color w:val="auto"/>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595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 xml:space="preserve">GB3096-2008 </w:t>
                  </w:r>
                  <w:r>
                    <w:rPr>
                      <w:rFonts w:hint="eastAsia"/>
                      <w:color w:val="auto"/>
                    </w:rPr>
                    <w:t>3</w:t>
                  </w:r>
                  <w:r>
                    <w:rPr>
                      <w:color w:val="auto"/>
                    </w:rPr>
                    <w:t>类标准限值</w:t>
                  </w:r>
                </w:p>
              </w:tc>
              <w:tc>
                <w:tcPr>
                  <w:tcW w:w="14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6</w:t>
                  </w:r>
                  <w:r>
                    <w:rPr>
                      <w:rFonts w:hint="eastAsia"/>
                      <w:color w:val="auto"/>
                    </w:rPr>
                    <w:t>5</w:t>
                  </w:r>
                </w:p>
              </w:tc>
              <w:tc>
                <w:tcPr>
                  <w:tcW w:w="14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5</w:t>
                  </w:r>
                  <w:r>
                    <w:rPr>
                      <w:rFonts w:hint="eastAsia"/>
                      <w:color w:val="auto"/>
                    </w:rPr>
                    <w:t>5</w:t>
                  </w:r>
                </w:p>
              </w:tc>
            </w:tr>
          </w:tbl>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r>
              <w:rPr>
                <w:color w:val="auto"/>
                <w:sz w:val="24"/>
                <w:szCs w:val="24"/>
              </w:rPr>
              <w:t>由表14监测结果可以看出，项目所在地声环境质量监测结果符合《声环境质量标准》（GB3096-2008）</w:t>
            </w:r>
            <w:r>
              <w:rPr>
                <w:rFonts w:hint="eastAsia"/>
                <w:color w:val="auto"/>
                <w:sz w:val="24"/>
                <w:szCs w:val="24"/>
              </w:rPr>
              <w:t>3</w:t>
            </w:r>
            <w:r>
              <w:rPr>
                <w:color w:val="auto"/>
                <w:sz w:val="24"/>
                <w:szCs w:val="24"/>
              </w:rPr>
              <w:t>类标准限值，当地声环境质量状况良好。</w:t>
            </w: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tc>
      </w:tr>
    </w:tbl>
    <w:p>
      <w:pPr>
        <w:rPr>
          <w:color w:val="auto"/>
        </w:rPr>
      </w:pPr>
    </w:p>
    <w:tbl>
      <w:tblPr>
        <w:tblStyle w:val="26"/>
        <w:tblW w:w="9004"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single" w:color="auto" w:sz="12" w:space="0"/>
        </w:tblBorders>
        <w:tblLayout w:type="fixed"/>
        <w:tblCellMar>
          <w:top w:w="0" w:type="dxa"/>
          <w:left w:w="108" w:type="dxa"/>
          <w:bottom w:w="0" w:type="dxa"/>
          <w:right w:w="108" w:type="dxa"/>
        </w:tblCellMar>
      </w:tblPr>
      <w:tblGrid>
        <w:gridCol w:w="9004"/>
      </w:tblGrid>
      <w:tr>
        <w:tblPrEx>
          <w:tblBorders>
            <w:top w:val="single" w:color="auto" w:sz="12" w:space="0"/>
            <w:left w:val="single" w:color="auto" w:sz="12" w:space="0"/>
            <w:bottom w:val="single" w:color="auto" w:sz="12" w:space="0"/>
            <w:right w:val="single" w:color="auto" w:sz="12" w:space="0"/>
            <w:insideH w:val="none" w:color="auto" w:sz="0" w:space="0"/>
            <w:insideV w:val="single" w:color="auto" w:sz="12" w:space="0"/>
          </w:tblBorders>
          <w:tblLayout w:type="fixed"/>
          <w:tblCellMar>
            <w:top w:w="0" w:type="dxa"/>
            <w:left w:w="108" w:type="dxa"/>
            <w:bottom w:w="0" w:type="dxa"/>
            <w:right w:w="108" w:type="dxa"/>
          </w:tblCellMar>
        </w:tblPrEx>
        <w:trPr>
          <w:trHeight w:val="13612" w:hRule="atLeast"/>
          <w:jc w:val="center"/>
        </w:trPr>
        <w:tc>
          <w:tcPr>
            <w:tcW w:w="9004" w:type="dxa"/>
            <w:tcBorders>
              <w:top w:val="single" w:color="auto" w:sz="4" w:space="0"/>
              <w:bottom w:val="single" w:color="auto" w:sz="4" w:space="0"/>
            </w:tcBorders>
          </w:tcPr>
          <w:p>
            <w:pPr>
              <w:spacing w:before="156" w:beforeLines="50" w:after="156" w:afterLines="50"/>
              <w:rPr>
                <w:b/>
                <w:bCs/>
                <w:color w:val="auto"/>
                <w:sz w:val="28"/>
                <w:szCs w:val="28"/>
              </w:rPr>
            </w:pPr>
            <w:r>
              <w:rPr>
                <w:b/>
                <w:bCs/>
                <w:color w:val="auto"/>
                <w:sz w:val="28"/>
                <w:szCs w:val="28"/>
              </w:rPr>
              <w:t>主要环境保护目标（列出名单及保护级别）：</w:t>
            </w:r>
          </w:p>
          <w:p>
            <w:pPr>
              <w:spacing w:before="468" w:beforeLines="150" w:after="156" w:afterLines="50"/>
              <w:rPr>
                <w:color w:val="auto"/>
                <w:sz w:val="24"/>
                <w:szCs w:val="24"/>
              </w:rPr>
            </w:pPr>
            <w:r>
              <w:rPr>
                <w:color w:val="auto"/>
                <w:sz w:val="24"/>
                <w:szCs w:val="24"/>
              </w:rPr>
              <w:t>本项目主要环境保护目标见表</w:t>
            </w:r>
            <w:r>
              <w:rPr>
                <w:rFonts w:hint="eastAsia"/>
                <w:color w:val="auto"/>
                <w:sz w:val="24"/>
                <w:szCs w:val="24"/>
              </w:rPr>
              <w:t>1</w:t>
            </w:r>
            <w:r>
              <w:rPr>
                <w:color w:val="auto"/>
                <w:sz w:val="24"/>
                <w:szCs w:val="24"/>
              </w:rPr>
              <w:t>5。项目周围环境保护目标分布图见附图</w:t>
            </w:r>
            <w:r>
              <w:rPr>
                <w:rFonts w:hint="eastAsia"/>
                <w:color w:val="auto"/>
                <w:sz w:val="24"/>
                <w:szCs w:val="24"/>
              </w:rPr>
              <w:t>5</w:t>
            </w:r>
            <w:r>
              <w:rPr>
                <w:color w:val="auto"/>
                <w:sz w:val="24"/>
                <w:szCs w:val="24"/>
              </w:rPr>
              <w:t>。</w:t>
            </w:r>
          </w:p>
          <w:p>
            <w:pPr>
              <w:ind w:firstLine="1920" w:firstLineChars="80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表15       项目主要环境保护目标一览表</w:t>
            </w:r>
          </w:p>
          <w:tbl>
            <w:tblPr>
              <w:tblStyle w:val="26"/>
              <w:tblW w:w="88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2292"/>
              <w:gridCol w:w="964"/>
              <w:gridCol w:w="806"/>
              <w:gridCol w:w="1128"/>
              <w:gridCol w:w="3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vMerge w:val="restar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序号</w:t>
                  </w:r>
                </w:p>
              </w:tc>
              <w:tc>
                <w:tcPr>
                  <w:tcW w:w="2292" w:type="dxa"/>
                  <w:vMerge w:val="restar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保护对象</w:t>
                  </w:r>
                </w:p>
              </w:tc>
              <w:tc>
                <w:tcPr>
                  <w:tcW w:w="964" w:type="dxa"/>
                  <w:vMerge w:val="restar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保护内容</w:t>
                  </w:r>
                </w:p>
              </w:tc>
              <w:tc>
                <w:tcPr>
                  <w:tcW w:w="1934" w:type="dxa"/>
                  <w:gridSpan w:val="2"/>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相对场址位置</w:t>
                  </w:r>
                </w:p>
              </w:tc>
              <w:tc>
                <w:tcPr>
                  <w:tcW w:w="3091" w:type="dxa"/>
                  <w:vMerge w:val="restar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519" w:type="dxa"/>
                  <w:vMerge w:val="continue"/>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p>
              </w:tc>
              <w:tc>
                <w:tcPr>
                  <w:tcW w:w="2292" w:type="dxa"/>
                  <w:vMerge w:val="continue"/>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p>
              </w:tc>
              <w:tc>
                <w:tcPr>
                  <w:tcW w:w="964" w:type="dxa"/>
                  <w:vMerge w:val="continue"/>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方位</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距离</w:t>
                  </w:r>
                </w:p>
              </w:tc>
              <w:tc>
                <w:tcPr>
                  <w:tcW w:w="3091" w:type="dxa"/>
                  <w:vMerge w:val="continue"/>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1</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桥南村</w:t>
                  </w:r>
                </w:p>
              </w:tc>
              <w:tc>
                <w:tcPr>
                  <w:tcW w:w="964" w:type="dxa"/>
                  <w:vMerge w:val="restart"/>
                  <w:tcBorders>
                    <w:top w:val="single" w:color="auto" w:sz="4" w:space="0"/>
                    <w:left w:val="single" w:color="auto" w:sz="4" w:space="0"/>
                    <w:right w:val="single" w:color="auto" w:sz="4" w:space="0"/>
                  </w:tcBorders>
                  <w:vAlign w:val="center"/>
                </w:tcPr>
                <w:p>
                  <w:pPr>
                    <w:tabs>
                      <w:tab w:val="center" w:pos="4153"/>
                      <w:tab w:val="right" w:pos="8306"/>
                    </w:tabs>
                    <w:snapToGrid w:val="0"/>
                    <w:jc w:val="center"/>
                    <w:rPr>
                      <w:color w:val="auto"/>
                    </w:rPr>
                  </w:pPr>
                  <w:r>
                    <w:rPr>
                      <w:color w:val="auto"/>
                    </w:rPr>
                    <w:t>大气环境</w:t>
                  </w: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NE</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890</w:t>
                  </w:r>
                </w:p>
              </w:tc>
              <w:tc>
                <w:tcPr>
                  <w:tcW w:w="3091" w:type="dxa"/>
                  <w:vMerge w:val="restart"/>
                  <w:tcBorders>
                    <w:top w:val="single" w:color="auto" w:sz="4" w:space="0"/>
                    <w:left w:val="single" w:color="auto" w:sz="4" w:space="0"/>
                    <w:right w:val="single" w:color="auto" w:sz="4" w:space="0"/>
                  </w:tcBorders>
                  <w:vAlign w:val="center"/>
                </w:tcPr>
                <w:p>
                  <w:pPr>
                    <w:tabs>
                      <w:tab w:val="center" w:pos="4153"/>
                      <w:tab w:val="right" w:pos="8306"/>
                    </w:tabs>
                    <w:snapToGrid w:val="0"/>
                    <w:jc w:val="center"/>
                    <w:rPr>
                      <w:color w:val="auto"/>
                    </w:rPr>
                  </w:pPr>
                  <w:r>
                    <w:rPr>
                      <w:color w:val="auto"/>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2</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上张家庄</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NW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1100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3</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龙门村</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760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4</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上峪口村</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NW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2160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5</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北庄村</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NW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1900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6</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下峪口</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NW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115</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7</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下峪口村</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S</w:t>
                  </w:r>
                  <w:r>
                    <w:rPr>
                      <w:rFonts w:hint="eastAsia"/>
                      <w:color w:val="auto"/>
                    </w:rPr>
                    <w:t>/E</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10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8</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龙门镇</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1000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9</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下峪口中心小学</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SW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130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10</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下峪口第二小学</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NW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1730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11</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下峪口中心幼儿园</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NW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1630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12</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龙门镇中学</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1450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1</w:t>
                  </w:r>
                  <w:r>
                    <w:rPr>
                      <w:color w:val="auto"/>
                    </w:rPr>
                    <w:t>3</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金太阳幼儿园</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NW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1820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1</w:t>
                  </w:r>
                  <w:r>
                    <w:rPr>
                      <w:color w:val="auto"/>
                    </w:rPr>
                    <w:t>4</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特区小学</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1</w:t>
                  </w:r>
                  <w:r>
                    <w:rPr>
                      <w:color w:val="auto"/>
                    </w:rPr>
                    <w:t>960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15</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新蕾中学</w:t>
                  </w:r>
                </w:p>
              </w:tc>
              <w:tc>
                <w:tcPr>
                  <w:tcW w:w="964" w:type="dxa"/>
                  <w:vMerge w:val="continue"/>
                  <w:tcBorders>
                    <w:left w:val="single" w:color="auto" w:sz="4" w:space="0"/>
                    <w:bottom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S</w:t>
                  </w:r>
                  <w:r>
                    <w:rPr>
                      <w:color w:val="auto"/>
                    </w:rPr>
                    <w:t>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w:t>
                  </w:r>
                  <w:r>
                    <w:rPr>
                      <w:color w:val="auto"/>
                    </w:rPr>
                    <w:t>236</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16</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渚北村</w:t>
                  </w:r>
                </w:p>
              </w:tc>
              <w:tc>
                <w:tcPr>
                  <w:tcW w:w="964" w:type="dxa"/>
                  <w:vMerge w:val="restart"/>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r>
                    <w:rPr>
                      <w:rFonts w:hint="eastAsia"/>
                      <w:color w:val="auto"/>
                    </w:rPr>
                    <w:t>环境风险（除大气环境保护目标外）</w:t>
                  </w: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NE</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2950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17</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杨家岭村</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N</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2420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18</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禹门口村</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N</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2730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19</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草坡埝</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SW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2310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20</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阳庄山村</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SW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3395</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21</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风口村</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SW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3400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22</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东白矾村</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SW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4120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23</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上白矾村</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SW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4370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24</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李村</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SW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3650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25</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李村沟</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SW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2600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26</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道北村</w:t>
                  </w:r>
                </w:p>
              </w:tc>
              <w:tc>
                <w:tcPr>
                  <w:tcW w:w="964" w:type="dxa"/>
                  <w:vMerge w:val="continue"/>
                  <w:tcBorders>
                    <w:left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SW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3750</w:t>
                  </w:r>
                </w:p>
              </w:tc>
              <w:tc>
                <w:tcPr>
                  <w:tcW w:w="3091" w:type="dxa"/>
                  <w:vMerge w:val="continue"/>
                  <w:tcBorders>
                    <w:left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27</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新林皋村</w:t>
                  </w:r>
                </w:p>
              </w:tc>
              <w:tc>
                <w:tcPr>
                  <w:tcW w:w="964" w:type="dxa"/>
                  <w:vMerge w:val="continue"/>
                  <w:tcBorders>
                    <w:left w:val="single" w:color="auto" w:sz="4" w:space="0"/>
                    <w:bottom w:val="single" w:color="auto" w:sz="4" w:space="0"/>
                    <w:right w:val="single" w:color="auto" w:sz="4" w:space="0"/>
                  </w:tcBorders>
                  <w:vAlign w:val="center"/>
                </w:tcPr>
                <w:p>
                  <w:pPr>
                    <w:tabs>
                      <w:tab w:val="center" w:pos="4153"/>
                      <w:tab w:val="right" w:pos="8306"/>
                    </w:tabs>
                    <w:snapToGrid w:val="0"/>
                    <w:ind w:firstLine="105" w:firstLineChars="50"/>
                    <w:jc w:val="center"/>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SW</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4520</w:t>
                  </w:r>
                </w:p>
              </w:tc>
              <w:tc>
                <w:tcPr>
                  <w:tcW w:w="3091" w:type="dxa"/>
                  <w:vMerge w:val="continue"/>
                  <w:tcBorders>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2</w:t>
                  </w:r>
                  <w:r>
                    <w:rPr>
                      <w:color w:val="auto"/>
                    </w:rPr>
                    <w:t>8</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陕西省黄河湿地自然保护区实验区</w:t>
                  </w:r>
                </w:p>
              </w:tc>
              <w:tc>
                <w:tcPr>
                  <w:tcW w:w="964"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rPr>
                      <w:color w:val="auto"/>
                    </w:rPr>
                  </w:pPr>
                  <w:r>
                    <w:rPr>
                      <w:rFonts w:hint="eastAsia"/>
                      <w:color w:val="auto"/>
                    </w:rPr>
                    <w:t>湿地生态系统及生物多样性</w:t>
                  </w: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E</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8</w:t>
                  </w:r>
                  <w:r>
                    <w:rPr>
                      <w:color w:val="auto"/>
                    </w:rPr>
                    <w:t>20</w:t>
                  </w:r>
                </w:p>
              </w:tc>
              <w:tc>
                <w:tcPr>
                  <w:tcW w:w="3091"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rPr>
                      <w:color w:val="auto"/>
                    </w:rPr>
                  </w:pPr>
                  <w:r>
                    <w:rPr>
                      <w:rFonts w:hint="eastAsia"/>
                      <w:color w:val="auto"/>
                    </w:rPr>
                    <w:t>湿地生态系统及生物多样性不受影响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51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29</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rFonts w:hint="eastAsia"/>
                      <w:color w:val="auto"/>
                    </w:rPr>
                    <w:t>黄</w:t>
                  </w:r>
                  <w:r>
                    <w:rPr>
                      <w:color w:val="auto"/>
                    </w:rPr>
                    <w:t>河</w:t>
                  </w:r>
                </w:p>
              </w:tc>
              <w:tc>
                <w:tcPr>
                  <w:tcW w:w="964"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rPr>
                      <w:color w:val="auto"/>
                    </w:rPr>
                  </w:pPr>
                  <w:r>
                    <w:rPr>
                      <w:color w:val="auto"/>
                    </w:rPr>
                    <w:t>地表水</w:t>
                  </w:r>
                </w:p>
              </w:tc>
              <w:tc>
                <w:tcPr>
                  <w:tcW w:w="806"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E</w:t>
                  </w:r>
                </w:p>
              </w:tc>
              <w:tc>
                <w:tcPr>
                  <w:tcW w:w="112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color w:val="auto"/>
                    </w:rPr>
                  </w:pPr>
                  <w:r>
                    <w:rPr>
                      <w:color w:val="auto"/>
                    </w:rPr>
                    <w:t>1000m</w:t>
                  </w:r>
                </w:p>
              </w:tc>
              <w:tc>
                <w:tcPr>
                  <w:tcW w:w="3091"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rPr>
                      <w:color w:val="auto"/>
                    </w:rPr>
                  </w:pPr>
                  <w:r>
                    <w:rPr>
                      <w:color w:val="auto"/>
                    </w:rPr>
                    <w:t>《地表水环境质量标准》（GB3838-2002）</w:t>
                  </w:r>
                  <w:r>
                    <w:rPr>
                      <w:color w:val="auto"/>
                    </w:rPr>
                    <w:fldChar w:fldCharType="begin"/>
                  </w:r>
                  <w:r>
                    <w:rPr>
                      <w:color w:val="auto"/>
                    </w:rPr>
                    <w:instrText xml:space="preserve"> = 3 \* ROMAN </w:instrText>
                  </w:r>
                  <w:r>
                    <w:rPr>
                      <w:color w:val="auto"/>
                    </w:rPr>
                    <w:fldChar w:fldCharType="separate"/>
                  </w:r>
                  <w:r>
                    <w:rPr>
                      <w:color w:val="auto"/>
                    </w:rPr>
                    <w:t>III</w:t>
                  </w:r>
                  <w:r>
                    <w:rPr>
                      <w:color w:val="auto"/>
                    </w:rPr>
                    <w:fldChar w:fldCharType="end"/>
                  </w:r>
                  <w:r>
                    <w:rPr>
                      <w:color w:val="auto"/>
                    </w:rPr>
                    <w:t>类标准</w:t>
                  </w:r>
                </w:p>
              </w:tc>
            </w:tr>
          </w:tbl>
          <w:p>
            <w:pPr>
              <w:spacing w:before="156" w:beforeLines="50" w:after="156" w:afterLines="50"/>
              <w:rPr>
                <w:color w:val="auto"/>
                <w:sz w:val="24"/>
                <w:szCs w:val="24"/>
              </w:rPr>
            </w:pPr>
          </w:p>
        </w:tc>
      </w:tr>
    </w:tbl>
    <w:p>
      <w:pPr>
        <w:outlineLvl w:val="0"/>
        <w:rPr>
          <w:rFonts w:eastAsia="黑体"/>
          <w:color w:val="auto"/>
          <w:sz w:val="30"/>
          <w:szCs w:val="30"/>
        </w:rPr>
      </w:pPr>
      <w:r>
        <w:rPr>
          <w:rFonts w:eastAsia="黑体"/>
          <w:color w:val="auto"/>
          <w:sz w:val="30"/>
          <w:szCs w:val="30"/>
        </w:rPr>
        <w:t>评价适用标准</w:t>
      </w:r>
    </w:p>
    <w:tbl>
      <w:tblPr>
        <w:tblStyle w:val="26"/>
        <w:tblW w:w="90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2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19" w:hRule="atLeast"/>
          <w:jc w:val="center"/>
        </w:trPr>
        <w:tc>
          <w:tcPr>
            <w:tcW w:w="738" w:type="dxa"/>
            <w:vAlign w:val="center"/>
          </w:tcPr>
          <w:p>
            <w:pPr>
              <w:adjustRightInd w:val="0"/>
              <w:snapToGrid w:val="0"/>
              <w:spacing w:line="360" w:lineRule="auto"/>
              <w:rPr>
                <w:color w:val="auto"/>
                <w:sz w:val="28"/>
                <w:szCs w:val="28"/>
              </w:rPr>
            </w:pPr>
          </w:p>
          <w:p>
            <w:pPr>
              <w:adjustRightInd w:val="0"/>
              <w:snapToGrid w:val="0"/>
              <w:spacing w:line="360" w:lineRule="auto"/>
              <w:jc w:val="center"/>
              <w:rPr>
                <w:color w:val="auto"/>
                <w:sz w:val="24"/>
                <w:szCs w:val="24"/>
              </w:rPr>
            </w:pPr>
            <w:r>
              <w:rPr>
                <w:color w:val="auto"/>
                <w:sz w:val="24"/>
                <w:szCs w:val="24"/>
              </w:rPr>
              <w:t>环</w:t>
            </w:r>
          </w:p>
          <w:p>
            <w:pPr>
              <w:adjustRightInd w:val="0"/>
              <w:snapToGrid w:val="0"/>
              <w:spacing w:line="360" w:lineRule="auto"/>
              <w:jc w:val="center"/>
              <w:rPr>
                <w:color w:val="auto"/>
                <w:sz w:val="24"/>
                <w:szCs w:val="24"/>
              </w:rPr>
            </w:pPr>
            <w:r>
              <w:rPr>
                <w:color w:val="auto"/>
                <w:sz w:val="24"/>
                <w:szCs w:val="24"/>
              </w:rPr>
              <w:t>境</w:t>
            </w:r>
          </w:p>
          <w:p>
            <w:pPr>
              <w:adjustRightInd w:val="0"/>
              <w:snapToGrid w:val="0"/>
              <w:spacing w:line="360" w:lineRule="auto"/>
              <w:jc w:val="center"/>
              <w:rPr>
                <w:color w:val="auto"/>
                <w:sz w:val="24"/>
                <w:szCs w:val="24"/>
              </w:rPr>
            </w:pPr>
            <w:r>
              <w:rPr>
                <w:color w:val="auto"/>
                <w:sz w:val="24"/>
                <w:szCs w:val="24"/>
              </w:rPr>
              <w:t>质</w:t>
            </w:r>
          </w:p>
          <w:p>
            <w:pPr>
              <w:adjustRightInd w:val="0"/>
              <w:snapToGrid w:val="0"/>
              <w:spacing w:line="360" w:lineRule="auto"/>
              <w:jc w:val="center"/>
              <w:rPr>
                <w:color w:val="auto"/>
                <w:sz w:val="24"/>
                <w:szCs w:val="24"/>
              </w:rPr>
            </w:pPr>
            <w:r>
              <w:rPr>
                <w:color w:val="auto"/>
                <w:sz w:val="24"/>
                <w:szCs w:val="24"/>
              </w:rPr>
              <w:t>量</w:t>
            </w:r>
          </w:p>
          <w:p>
            <w:pPr>
              <w:adjustRightInd w:val="0"/>
              <w:snapToGrid w:val="0"/>
              <w:spacing w:line="360" w:lineRule="auto"/>
              <w:jc w:val="center"/>
              <w:rPr>
                <w:color w:val="auto"/>
                <w:sz w:val="24"/>
                <w:szCs w:val="24"/>
              </w:rPr>
            </w:pPr>
            <w:r>
              <w:rPr>
                <w:color w:val="auto"/>
                <w:sz w:val="24"/>
                <w:szCs w:val="24"/>
              </w:rPr>
              <w:t>标</w:t>
            </w:r>
          </w:p>
          <w:p>
            <w:pPr>
              <w:adjustRightInd w:val="0"/>
              <w:snapToGrid w:val="0"/>
              <w:spacing w:line="360" w:lineRule="auto"/>
              <w:jc w:val="center"/>
              <w:rPr>
                <w:color w:val="auto"/>
                <w:sz w:val="24"/>
                <w:szCs w:val="24"/>
              </w:rPr>
            </w:pPr>
            <w:r>
              <w:rPr>
                <w:color w:val="auto"/>
                <w:sz w:val="24"/>
                <w:szCs w:val="24"/>
              </w:rPr>
              <w:t>准</w:t>
            </w:r>
          </w:p>
          <w:p>
            <w:pPr>
              <w:adjustRightInd w:val="0"/>
              <w:snapToGrid w:val="0"/>
              <w:spacing w:line="360" w:lineRule="auto"/>
              <w:rPr>
                <w:color w:val="auto"/>
                <w:sz w:val="28"/>
                <w:szCs w:val="28"/>
              </w:rPr>
            </w:pPr>
          </w:p>
        </w:tc>
        <w:tc>
          <w:tcPr>
            <w:tcW w:w="8266" w:type="dxa"/>
            <w:vAlign w:val="center"/>
          </w:tcPr>
          <w:p>
            <w:pPr>
              <w:spacing w:line="360" w:lineRule="auto"/>
              <w:ind w:firstLine="480" w:firstLineChars="200"/>
              <w:rPr>
                <w:color w:val="auto"/>
                <w:sz w:val="24"/>
                <w:szCs w:val="24"/>
              </w:rPr>
            </w:pPr>
            <w:r>
              <w:rPr>
                <w:color w:val="auto"/>
                <w:sz w:val="24"/>
                <w:szCs w:val="24"/>
              </w:rPr>
              <w:t>根据建设项目所在地环境功能区划，评价区环境空气、地表水和声环境执行标准如下：</w:t>
            </w:r>
          </w:p>
          <w:p>
            <w:pPr>
              <w:spacing w:line="360" w:lineRule="auto"/>
              <w:ind w:firstLine="480" w:firstLineChars="200"/>
              <w:rPr>
                <w:color w:val="auto"/>
                <w:sz w:val="24"/>
                <w:szCs w:val="24"/>
              </w:rPr>
            </w:pPr>
            <w:r>
              <w:rPr>
                <w:color w:val="auto"/>
                <w:sz w:val="24"/>
                <w:szCs w:val="24"/>
              </w:rPr>
              <w:t>1、</w:t>
            </w:r>
            <w:r>
              <w:rPr>
                <w:rFonts w:hint="eastAsia"/>
                <w:color w:val="auto"/>
                <w:sz w:val="24"/>
                <w:szCs w:val="24"/>
              </w:rPr>
              <w:t>环境空气常规因子执行《环境空气质量标准》（GB3095-2012）中的二级标准；特征因子执行《工业企业设计卫生标准》（TJ36-79）中居住区大气中有害物质的最高容许浓度；</w:t>
            </w:r>
          </w:p>
          <w:p>
            <w:pPr>
              <w:spacing w:line="360" w:lineRule="auto"/>
              <w:ind w:firstLine="480" w:firstLineChars="200"/>
              <w:rPr>
                <w:color w:val="auto"/>
                <w:sz w:val="24"/>
                <w:szCs w:val="24"/>
              </w:rPr>
            </w:pPr>
            <w:r>
              <w:rPr>
                <w:color w:val="auto"/>
                <w:sz w:val="24"/>
                <w:szCs w:val="24"/>
              </w:rPr>
              <w:t>2、声环境质量执行《声环境质量标准》（GB3096-2008）</w:t>
            </w:r>
            <w:r>
              <w:rPr>
                <w:rFonts w:hint="eastAsia"/>
                <w:color w:val="auto"/>
                <w:sz w:val="24"/>
                <w:szCs w:val="24"/>
              </w:rPr>
              <w:t>3</w:t>
            </w:r>
            <w:r>
              <w:rPr>
                <w:color w:val="auto"/>
                <w:sz w:val="24"/>
                <w:szCs w:val="24"/>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99" w:hRule="atLeast"/>
          <w:jc w:val="center"/>
        </w:trPr>
        <w:tc>
          <w:tcPr>
            <w:tcW w:w="738" w:type="dxa"/>
            <w:vAlign w:val="center"/>
          </w:tcPr>
          <w:p>
            <w:pPr>
              <w:adjustRightInd w:val="0"/>
              <w:snapToGrid w:val="0"/>
              <w:spacing w:line="348" w:lineRule="auto"/>
              <w:rPr>
                <w:color w:val="auto"/>
                <w:sz w:val="28"/>
                <w:szCs w:val="28"/>
              </w:rPr>
            </w:pPr>
          </w:p>
          <w:p>
            <w:pPr>
              <w:pStyle w:val="20"/>
              <w:spacing w:line="348" w:lineRule="auto"/>
              <w:rPr>
                <w:color w:val="auto"/>
                <w:sz w:val="24"/>
                <w:szCs w:val="24"/>
              </w:rPr>
            </w:pPr>
            <w:r>
              <w:rPr>
                <w:color w:val="auto"/>
                <w:sz w:val="24"/>
                <w:szCs w:val="24"/>
              </w:rPr>
              <w:t>污</w:t>
            </w:r>
          </w:p>
          <w:p>
            <w:pPr>
              <w:pStyle w:val="20"/>
              <w:spacing w:line="348" w:lineRule="auto"/>
              <w:rPr>
                <w:color w:val="auto"/>
                <w:sz w:val="24"/>
                <w:szCs w:val="24"/>
              </w:rPr>
            </w:pPr>
            <w:r>
              <w:rPr>
                <w:color w:val="auto"/>
                <w:sz w:val="24"/>
                <w:szCs w:val="24"/>
              </w:rPr>
              <w:t>染</w:t>
            </w:r>
          </w:p>
          <w:p>
            <w:pPr>
              <w:pStyle w:val="20"/>
              <w:spacing w:line="348" w:lineRule="auto"/>
              <w:rPr>
                <w:color w:val="auto"/>
                <w:sz w:val="24"/>
                <w:szCs w:val="24"/>
              </w:rPr>
            </w:pPr>
            <w:r>
              <w:rPr>
                <w:color w:val="auto"/>
                <w:sz w:val="24"/>
                <w:szCs w:val="24"/>
              </w:rPr>
              <w:t>物</w:t>
            </w:r>
          </w:p>
          <w:p>
            <w:pPr>
              <w:pStyle w:val="20"/>
              <w:spacing w:line="348" w:lineRule="auto"/>
              <w:rPr>
                <w:color w:val="auto"/>
                <w:sz w:val="24"/>
                <w:szCs w:val="24"/>
              </w:rPr>
            </w:pPr>
            <w:r>
              <w:rPr>
                <w:color w:val="auto"/>
                <w:sz w:val="24"/>
                <w:szCs w:val="24"/>
              </w:rPr>
              <w:t>排</w:t>
            </w:r>
          </w:p>
          <w:p>
            <w:pPr>
              <w:pStyle w:val="20"/>
              <w:spacing w:line="348" w:lineRule="auto"/>
              <w:rPr>
                <w:color w:val="auto"/>
                <w:sz w:val="24"/>
                <w:szCs w:val="24"/>
              </w:rPr>
            </w:pPr>
            <w:r>
              <w:rPr>
                <w:color w:val="auto"/>
                <w:sz w:val="24"/>
                <w:szCs w:val="24"/>
              </w:rPr>
              <w:t>放</w:t>
            </w:r>
          </w:p>
          <w:p>
            <w:pPr>
              <w:pStyle w:val="20"/>
              <w:spacing w:line="348" w:lineRule="auto"/>
              <w:rPr>
                <w:color w:val="auto"/>
                <w:sz w:val="24"/>
                <w:szCs w:val="24"/>
              </w:rPr>
            </w:pPr>
            <w:r>
              <w:rPr>
                <w:color w:val="auto"/>
                <w:sz w:val="24"/>
                <w:szCs w:val="24"/>
              </w:rPr>
              <w:t>标</w:t>
            </w:r>
          </w:p>
          <w:p>
            <w:pPr>
              <w:pStyle w:val="20"/>
              <w:spacing w:line="348" w:lineRule="auto"/>
              <w:rPr>
                <w:color w:val="auto"/>
                <w:sz w:val="24"/>
                <w:szCs w:val="24"/>
              </w:rPr>
            </w:pPr>
            <w:r>
              <w:rPr>
                <w:color w:val="auto"/>
                <w:sz w:val="24"/>
                <w:szCs w:val="24"/>
              </w:rPr>
              <w:t>准</w:t>
            </w:r>
          </w:p>
          <w:p>
            <w:pPr>
              <w:adjustRightInd w:val="0"/>
              <w:snapToGrid w:val="0"/>
              <w:spacing w:line="348" w:lineRule="auto"/>
              <w:rPr>
                <w:color w:val="auto"/>
                <w:sz w:val="28"/>
                <w:szCs w:val="28"/>
              </w:rPr>
            </w:pPr>
          </w:p>
        </w:tc>
        <w:tc>
          <w:tcPr>
            <w:tcW w:w="8266" w:type="dxa"/>
            <w:vAlign w:val="center"/>
          </w:tcPr>
          <w:p>
            <w:pPr>
              <w:spacing w:line="520" w:lineRule="exact"/>
              <w:ind w:firstLine="480" w:firstLineChars="200"/>
              <w:rPr>
                <w:color w:val="auto"/>
                <w:sz w:val="24"/>
                <w:szCs w:val="24"/>
              </w:rPr>
            </w:pPr>
            <w:r>
              <w:rPr>
                <w:color w:val="auto"/>
                <w:sz w:val="24"/>
                <w:szCs w:val="24"/>
              </w:rPr>
              <w:t>1、</w:t>
            </w:r>
            <w:r>
              <w:rPr>
                <w:rFonts w:hint="eastAsia"/>
                <w:color w:val="auto"/>
                <w:sz w:val="24"/>
                <w:szCs w:val="24"/>
              </w:rPr>
              <w:t>运营期锅炉烟气颗粒物、二氧化硫、氮氧化物排放执行《关中地区重点行业大气污染物排放限值》（DB61/941-2014）标准限值；烟气黑度执行《火电厂大气污染物排放标准》（GB13223-2011）标准限值</w:t>
            </w:r>
            <w:r>
              <w:rPr>
                <w:color w:val="auto"/>
                <w:sz w:val="24"/>
                <w:szCs w:val="24"/>
              </w:rPr>
              <w:t>；</w:t>
            </w:r>
            <w:r>
              <w:rPr>
                <w:rFonts w:hint="eastAsia"/>
                <w:color w:val="auto"/>
                <w:sz w:val="24"/>
                <w:szCs w:val="24"/>
              </w:rPr>
              <w:t>氨逃逸执行《氨法烟气脱硫工程通用技术规范》（H</w:t>
            </w:r>
            <w:r>
              <w:rPr>
                <w:color w:val="auto"/>
                <w:sz w:val="24"/>
                <w:szCs w:val="24"/>
              </w:rPr>
              <w:t>J2001</w:t>
            </w:r>
            <w:r>
              <w:rPr>
                <w:rFonts w:hint="eastAsia"/>
                <w:color w:val="auto"/>
                <w:sz w:val="24"/>
                <w:szCs w:val="24"/>
              </w:rPr>
              <w:t>-</w:t>
            </w:r>
            <w:r>
              <w:rPr>
                <w:color w:val="auto"/>
                <w:sz w:val="24"/>
                <w:szCs w:val="24"/>
              </w:rPr>
              <w:t>2018</w:t>
            </w:r>
            <w:r>
              <w:rPr>
                <w:rFonts w:hint="eastAsia"/>
                <w:color w:val="auto"/>
                <w:sz w:val="24"/>
                <w:szCs w:val="24"/>
              </w:rPr>
              <w:t>）相关规定；厂界无组织废气执行《大气污染物综合排放标准》（GB16297-1996）、《恶臭污染物排放标准》（GB14554-93）标准限值；</w:t>
            </w:r>
          </w:p>
          <w:p>
            <w:pPr>
              <w:spacing w:line="520" w:lineRule="exact"/>
              <w:ind w:firstLine="480" w:firstLineChars="200"/>
              <w:rPr>
                <w:color w:val="auto"/>
                <w:sz w:val="24"/>
                <w:szCs w:val="24"/>
              </w:rPr>
            </w:pPr>
            <w:r>
              <w:rPr>
                <w:color w:val="auto"/>
                <w:sz w:val="24"/>
                <w:szCs w:val="24"/>
              </w:rPr>
              <w:t>2、厂界噪声执行《工业企业厂界环境噪声排放标准》(GB12348-2008)</w:t>
            </w:r>
            <w:r>
              <w:rPr>
                <w:rFonts w:hint="eastAsia"/>
                <w:color w:val="auto"/>
                <w:sz w:val="24"/>
                <w:szCs w:val="24"/>
              </w:rPr>
              <w:t>3</w:t>
            </w:r>
            <w:r>
              <w:rPr>
                <w:color w:val="auto"/>
                <w:sz w:val="24"/>
                <w:szCs w:val="24"/>
              </w:rPr>
              <w:t>类标准；</w:t>
            </w:r>
          </w:p>
          <w:p>
            <w:pPr>
              <w:spacing w:line="360" w:lineRule="auto"/>
              <w:ind w:firstLine="480" w:firstLineChars="200"/>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53" w:hRule="atLeast"/>
          <w:jc w:val="center"/>
        </w:trPr>
        <w:tc>
          <w:tcPr>
            <w:tcW w:w="738" w:type="dxa"/>
            <w:vAlign w:val="center"/>
          </w:tcPr>
          <w:p>
            <w:pPr>
              <w:adjustRightInd w:val="0"/>
              <w:snapToGrid w:val="0"/>
              <w:spacing w:line="348" w:lineRule="auto"/>
              <w:jc w:val="center"/>
              <w:rPr>
                <w:color w:val="auto"/>
                <w:sz w:val="24"/>
                <w:szCs w:val="24"/>
              </w:rPr>
            </w:pPr>
            <w:r>
              <w:rPr>
                <w:color w:val="auto"/>
                <w:sz w:val="24"/>
                <w:szCs w:val="24"/>
              </w:rPr>
              <w:t>总</w:t>
            </w:r>
          </w:p>
          <w:p>
            <w:pPr>
              <w:adjustRightInd w:val="0"/>
              <w:snapToGrid w:val="0"/>
              <w:spacing w:line="348" w:lineRule="auto"/>
              <w:jc w:val="center"/>
              <w:rPr>
                <w:color w:val="auto"/>
                <w:sz w:val="24"/>
                <w:szCs w:val="24"/>
              </w:rPr>
            </w:pPr>
            <w:r>
              <w:rPr>
                <w:color w:val="auto"/>
                <w:sz w:val="24"/>
                <w:szCs w:val="24"/>
              </w:rPr>
              <w:t>量</w:t>
            </w:r>
          </w:p>
          <w:p>
            <w:pPr>
              <w:adjustRightInd w:val="0"/>
              <w:snapToGrid w:val="0"/>
              <w:spacing w:line="348" w:lineRule="auto"/>
              <w:jc w:val="center"/>
              <w:rPr>
                <w:color w:val="auto"/>
                <w:sz w:val="24"/>
                <w:szCs w:val="24"/>
              </w:rPr>
            </w:pPr>
            <w:r>
              <w:rPr>
                <w:color w:val="auto"/>
                <w:sz w:val="24"/>
                <w:szCs w:val="24"/>
              </w:rPr>
              <w:t>控</w:t>
            </w:r>
          </w:p>
          <w:p>
            <w:pPr>
              <w:adjustRightInd w:val="0"/>
              <w:snapToGrid w:val="0"/>
              <w:spacing w:line="348" w:lineRule="auto"/>
              <w:jc w:val="center"/>
              <w:rPr>
                <w:color w:val="auto"/>
                <w:sz w:val="24"/>
                <w:szCs w:val="24"/>
              </w:rPr>
            </w:pPr>
            <w:r>
              <w:rPr>
                <w:color w:val="auto"/>
                <w:sz w:val="24"/>
                <w:szCs w:val="24"/>
              </w:rPr>
              <w:t>制</w:t>
            </w:r>
          </w:p>
          <w:p>
            <w:pPr>
              <w:adjustRightInd w:val="0"/>
              <w:snapToGrid w:val="0"/>
              <w:spacing w:line="348" w:lineRule="auto"/>
              <w:jc w:val="center"/>
              <w:rPr>
                <w:color w:val="auto"/>
                <w:sz w:val="24"/>
                <w:szCs w:val="24"/>
              </w:rPr>
            </w:pPr>
            <w:r>
              <w:rPr>
                <w:color w:val="auto"/>
                <w:sz w:val="24"/>
                <w:szCs w:val="24"/>
              </w:rPr>
              <w:t>指</w:t>
            </w:r>
          </w:p>
          <w:p>
            <w:pPr>
              <w:adjustRightInd w:val="0"/>
              <w:snapToGrid w:val="0"/>
              <w:spacing w:line="348" w:lineRule="auto"/>
              <w:jc w:val="center"/>
              <w:rPr>
                <w:color w:val="auto"/>
                <w:sz w:val="24"/>
                <w:szCs w:val="24"/>
              </w:rPr>
            </w:pPr>
            <w:r>
              <w:rPr>
                <w:color w:val="auto"/>
                <w:sz w:val="24"/>
                <w:szCs w:val="24"/>
              </w:rPr>
              <w:t>标</w:t>
            </w:r>
          </w:p>
        </w:tc>
        <w:tc>
          <w:tcPr>
            <w:tcW w:w="8266" w:type="dxa"/>
            <w:vAlign w:val="center"/>
          </w:tcPr>
          <w:p>
            <w:pPr>
              <w:spacing w:line="360" w:lineRule="auto"/>
              <w:rPr>
                <w:color w:val="auto"/>
                <w:kern w:val="0"/>
                <w:sz w:val="24"/>
                <w:szCs w:val="24"/>
              </w:rPr>
            </w:pPr>
          </w:p>
          <w:p>
            <w:pPr>
              <w:spacing w:line="360" w:lineRule="auto"/>
              <w:rPr>
                <w:color w:val="auto"/>
                <w:kern w:val="0"/>
                <w:sz w:val="24"/>
                <w:szCs w:val="24"/>
              </w:rPr>
            </w:pPr>
            <w:r>
              <w:rPr>
                <w:rFonts w:hint="eastAsia"/>
                <w:color w:val="auto"/>
                <w:kern w:val="0"/>
                <w:sz w:val="24"/>
                <w:szCs w:val="24"/>
              </w:rPr>
              <w:t>本项目总量控制指标为：</w:t>
            </w:r>
          </w:p>
          <w:p>
            <w:pPr>
              <w:spacing w:line="360" w:lineRule="auto"/>
              <w:ind w:firstLine="960" w:firstLineChars="400"/>
              <w:rPr>
                <w:color w:val="auto"/>
                <w:kern w:val="0"/>
                <w:sz w:val="24"/>
                <w:szCs w:val="24"/>
              </w:rPr>
            </w:pPr>
          </w:p>
          <w:p>
            <w:pPr>
              <w:spacing w:line="360" w:lineRule="auto"/>
              <w:ind w:firstLine="960" w:firstLineChars="400"/>
              <w:rPr>
                <w:color w:val="auto"/>
                <w:kern w:val="0"/>
                <w:sz w:val="24"/>
                <w:szCs w:val="24"/>
              </w:rPr>
            </w:pPr>
            <w:r>
              <w:rPr>
                <w:rFonts w:hint="eastAsia"/>
                <w:color w:val="auto"/>
                <w:kern w:val="0"/>
                <w:sz w:val="24"/>
                <w:szCs w:val="24"/>
              </w:rPr>
              <w:t>颗粒物：</w:t>
            </w:r>
            <w:r>
              <w:rPr>
                <w:color w:val="auto"/>
                <w:kern w:val="0"/>
                <w:sz w:val="24"/>
                <w:szCs w:val="24"/>
              </w:rPr>
              <w:t>28.98</w:t>
            </w:r>
            <w:r>
              <w:rPr>
                <w:rFonts w:hint="eastAsia"/>
                <w:color w:val="auto"/>
                <w:kern w:val="0"/>
                <w:sz w:val="24"/>
                <w:szCs w:val="24"/>
              </w:rPr>
              <w:t>t/a；SO</w:t>
            </w:r>
            <w:r>
              <w:rPr>
                <w:rFonts w:hint="eastAsia"/>
                <w:color w:val="auto"/>
                <w:kern w:val="0"/>
                <w:sz w:val="24"/>
                <w:szCs w:val="24"/>
                <w:vertAlign w:val="subscript"/>
              </w:rPr>
              <w:t>2</w:t>
            </w:r>
            <w:r>
              <w:rPr>
                <w:rFonts w:hint="eastAsia"/>
                <w:color w:val="auto"/>
                <w:kern w:val="0"/>
                <w:sz w:val="24"/>
                <w:szCs w:val="24"/>
              </w:rPr>
              <w:t>:</w:t>
            </w:r>
            <w:r>
              <w:rPr>
                <w:color w:val="auto"/>
                <w:kern w:val="0"/>
                <w:sz w:val="24"/>
                <w:szCs w:val="24"/>
              </w:rPr>
              <w:t>168.94</w:t>
            </w:r>
            <w:r>
              <w:rPr>
                <w:rFonts w:hint="eastAsia"/>
                <w:color w:val="auto"/>
                <w:kern w:val="0"/>
                <w:sz w:val="24"/>
                <w:szCs w:val="24"/>
              </w:rPr>
              <w:t>t/a；NO</w:t>
            </w:r>
            <w:r>
              <w:rPr>
                <w:rFonts w:hint="eastAsia"/>
                <w:color w:val="auto"/>
                <w:kern w:val="0"/>
                <w:sz w:val="24"/>
                <w:szCs w:val="24"/>
                <w:vertAlign w:val="subscript"/>
              </w:rPr>
              <w:t>X</w:t>
            </w:r>
            <w:r>
              <w:rPr>
                <w:rFonts w:hint="eastAsia"/>
                <w:color w:val="auto"/>
                <w:kern w:val="0"/>
                <w:sz w:val="24"/>
                <w:szCs w:val="24"/>
              </w:rPr>
              <w:t>：</w:t>
            </w:r>
            <w:r>
              <w:rPr>
                <w:color w:val="auto"/>
                <w:kern w:val="0"/>
                <w:sz w:val="24"/>
                <w:szCs w:val="24"/>
              </w:rPr>
              <w:t>718.</w:t>
            </w:r>
            <w:r>
              <w:rPr>
                <w:rFonts w:hint="eastAsia"/>
                <w:color w:val="auto"/>
                <w:kern w:val="0"/>
                <w:sz w:val="24"/>
                <w:szCs w:val="24"/>
              </w:rPr>
              <w:t>82t/a</w:t>
            </w:r>
          </w:p>
          <w:p>
            <w:pPr>
              <w:spacing w:line="360" w:lineRule="auto"/>
              <w:rPr>
                <w:color w:val="auto"/>
                <w:kern w:val="0"/>
                <w:sz w:val="24"/>
                <w:szCs w:val="24"/>
              </w:rPr>
            </w:pPr>
          </w:p>
          <w:p>
            <w:pPr>
              <w:spacing w:line="360" w:lineRule="auto"/>
              <w:rPr>
                <w:color w:val="auto"/>
                <w:kern w:val="0"/>
                <w:sz w:val="24"/>
                <w:szCs w:val="24"/>
              </w:rPr>
            </w:pPr>
          </w:p>
          <w:p>
            <w:pPr>
              <w:spacing w:line="360" w:lineRule="auto"/>
              <w:rPr>
                <w:color w:val="auto"/>
                <w:kern w:val="0"/>
                <w:sz w:val="24"/>
                <w:szCs w:val="24"/>
              </w:rPr>
            </w:pPr>
          </w:p>
          <w:p>
            <w:pPr>
              <w:spacing w:line="360" w:lineRule="auto"/>
              <w:rPr>
                <w:color w:val="auto"/>
                <w:kern w:val="0"/>
                <w:sz w:val="24"/>
                <w:szCs w:val="24"/>
              </w:rPr>
            </w:pPr>
          </w:p>
          <w:p>
            <w:pPr>
              <w:spacing w:line="360" w:lineRule="auto"/>
              <w:rPr>
                <w:color w:val="auto"/>
                <w:kern w:val="0"/>
                <w:sz w:val="24"/>
                <w:szCs w:val="24"/>
              </w:rPr>
            </w:pPr>
          </w:p>
        </w:tc>
      </w:tr>
    </w:tbl>
    <w:p>
      <w:pPr>
        <w:outlineLvl w:val="0"/>
        <w:rPr>
          <w:rFonts w:eastAsia="黑体"/>
          <w:color w:val="auto"/>
          <w:sz w:val="30"/>
          <w:szCs w:val="30"/>
        </w:rPr>
      </w:pPr>
      <w:r>
        <w:rPr>
          <w:rFonts w:eastAsia="黑体"/>
          <w:color w:val="auto"/>
          <w:sz w:val="30"/>
          <w:szCs w:val="30"/>
        </w:rPr>
        <w:t>建设项目工程分析</w:t>
      </w:r>
    </w:p>
    <w:tbl>
      <w:tblPr>
        <w:tblStyle w:val="26"/>
        <w:tblW w:w="9095" w:type="dxa"/>
        <w:jc w:val="center"/>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9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jc w:val="center"/>
        </w:trPr>
        <w:tc>
          <w:tcPr>
            <w:tcW w:w="9095" w:type="dxa"/>
          </w:tcPr>
          <w:p>
            <w:pPr>
              <w:spacing w:before="156" w:beforeLines="50" w:after="156" w:afterLines="50"/>
              <w:rPr>
                <w:color w:val="auto"/>
                <w:sz w:val="28"/>
                <w:szCs w:val="28"/>
              </w:rPr>
            </w:pPr>
            <w:r>
              <w:rPr>
                <w:color w:val="auto"/>
                <w:sz w:val="28"/>
                <w:szCs w:val="28"/>
              </w:rPr>
              <w:t>工艺流简述（图示）：</w:t>
            </w:r>
          </w:p>
          <w:p>
            <w:pPr>
              <w:spacing w:line="360" w:lineRule="auto"/>
              <w:ind w:firstLine="480" w:firstLineChars="200"/>
              <w:rPr>
                <w:color w:val="auto"/>
                <w:sz w:val="24"/>
                <w:szCs w:val="24"/>
              </w:rPr>
            </w:pPr>
            <w:r>
              <w:rPr>
                <w:rFonts w:hint="eastAsia"/>
                <w:color w:val="auto"/>
                <w:sz w:val="24"/>
                <w:szCs w:val="24"/>
              </w:rPr>
              <w:t>1、</w:t>
            </w:r>
            <w:r>
              <w:rPr>
                <w:color w:val="auto"/>
                <w:sz w:val="24"/>
                <w:szCs w:val="24"/>
              </w:rPr>
              <w:t>工艺流程简述</w:t>
            </w:r>
          </w:p>
          <w:p>
            <w:pPr>
              <w:pStyle w:val="2"/>
              <w:spacing w:line="360" w:lineRule="auto"/>
              <w:ind w:firstLine="480"/>
              <w:rPr>
                <w:rFonts w:ascii="宋体" w:hAnsi="宋体"/>
                <w:snapToGrid w:val="0"/>
                <w:color w:val="auto"/>
                <w:sz w:val="24"/>
              </w:rPr>
            </w:pPr>
            <w:r>
              <w:rPr>
                <w:rFonts w:hint="eastAsia" w:ascii="宋体" w:hAnsi="宋体"/>
                <w:snapToGrid w:val="0"/>
                <w:color w:val="auto"/>
                <w:sz w:val="24"/>
              </w:rPr>
              <w:t>从浓氨罐将20%氨水</w:t>
            </w:r>
            <w:r>
              <w:rPr>
                <w:rFonts w:ascii="宋体" w:hAnsi="宋体"/>
                <w:snapToGrid w:val="0"/>
                <w:color w:val="auto"/>
                <w:sz w:val="24"/>
              </w:rPr>
              <w:t>引入脱硫剂调配罐，与</w:t>
            </w:r>
            <w:r>
              <w:rPr>
                <w:rFonts w:hint="eastAsia" w:ascii="宋体" w:hAnsi="宋体"/>
                <w:snapToGrid w:val="0"/>
                <w:color w:val="auto"/>
                <w:sz w:val="24"/>
              </w:rPr>
              <w:t>水</w:t>
            </w:r>
            <w:r>
              <w:rPr>
                <w:rFonts w:ascii="宋体" w:hAnsi="宋体"/>
                <w:snapToGrid w:val="0"/>
                <w:color w:val="auto"/>
                <w:sz w:val="24"/>
              </w:rPr>
              <w:t>配制成浓度</w:t>
            </w:r>
            <w:r>
              <w:rPr>
                <w:rFonts w:hint="eastAsia" w:ascii="宋体" w:hAnsi="宋体"/>
                <w:snapToGrid w:val="0"/>
                <w:color w:val="auto"/>
                <w:sz w:val="24"/>
              </w:rPr>
              <w:t>为3</w:t>
            </w:r>
            <w:r>
              <w:rPr>
                <w:rFonts w:ascii="宋体" w:hAnsi="宋体"/>
                <w:snapToGrid w:val="0"/>
                <w:color w:val="auto"/>
                <w:sz w:val="24"/>
              </w:rPr>
              <w:t>%</w:t>
            </w:r>
            <w:r>
              <w:rPr>
                <w:rFonts w:hint="eastAsia" w:ascii="宋体" w:hAnsi="宋体"/>
                <w:snapToGrid w:val="0"/>
                <w:color w:val="auto"/>
                <w:sz w:val="24"/>
              </w:rPr>
              <w:t>的稀</w:t>
            </w:r>
            <w:r>
              <w:rPr>
                <w:rFonts w:ascii="宋体" w:hAnsi="宋体"/>
                <w:snapToGrid w:val="0"/>
                <w:color w:val="auto"/>
                <w:sz w:val="24"/>
              </w:rPr>
              <w:t>氨水</w:t>
            </w:r>
            <w:r>
              <w:rPr>
                <w:rFonts w:hint="eastAsia" w:ascii="宋体" w:hAnsi="宋体"/>
                <w:snapToGrid w:val="0"/>
                <w:color w:val="auto"/>
                <w:sz w:val="24"/>
              </w:rPr>
              <w:t>作为</w:t>
            </w:r>
            <w:r>
              <w:rPr>
                <w:rFonts w:ascii="宋体" w:hAnsi="宋体"/>
                <w:snapToGrid w:val="0"/>
                <w:color w:val="auto"/>
                <w:sz w:val="24"/>
              </w:rPr>
              <w:t>脱硫剂。用DCS系统控制流量，经</w:t>
            </w:r>
            <w:r>
              <w:rPr>
                <w:rFonts w:hint="eastAsia" w:ascii="宋体" w:hAnsi="宋体"/>
                <w:snapToGrid w:val="0"/>
                <w:color w:val="auto"/>
                <w:sz w:val="24"/>
              </w:rPr>
              <w:t>专用的喷氨将3%稀氨水</w:t>
            </w:r>
            <w:r>
              <w:rPr>
                <w:rFonts w:ascii="宋体" w:hAnsi="宋体"/>
                <w:snapToGrid w:val="0"/>
                <w:color w:val="auto"/>
                <w:sz w:val="24"/>
              </w:rPr>
              <w:t>送入脱硫反应器中的雾化器，在脱硫装置中进行硫氨反应达到脱硫效果。脱硫后经化学反应生成亚硫酸铵，在烟道中与</w:t>
            </w:r>
            <w:r>
              <w:rPr>
                <w:rFonts w:hint="eastAsia" w:ascii="宋体" w:hAnsi="宋体"/>
                <w:snapToGrid w:val="0"/>
                <w:color w:val="auto"/>
                <w:sz w:val="24"/>
              </w:rPr>
              <w:t>烟气中的氧气</w:t>
            </w:r>
            <w:r>
              <w:rPr>
                <w:rFonts w:ascii="宋体" w:hAnsi="宋体"/>
                <w:snapToGrid w:val="0"/>
                <w:color w:val="auto"/>
                <w:sz w:val="24"/>
              </w:rPr>
              <w:t>在</w:t>
            </w:r>
            <w:r>
              <w:rPr>
                <w:rFonts w:hint="eastAsia" w:ascii="宋体" w:hAnsi="宋体"/>
                <w:snapToGrid w:val="0"/>
                <w:color w:val="auto"/>
                <w:sz w:val="24"/>
              </w:rPr>
              <w:t>烟气余热</w:t>
            </w:r>
            <w:r>
              <w:rPr>
                <w:rFonts w:ascii="宋体" w:hAnsi="宋体"/>
                <w:snapToGrid w:val="0"/>
                <w:color w:val="auto"/>
                <w:sz w:val="24"/>
              </w:rPr>
              <w:t>的作用下转化为亚硫酸铵和硫酸铵结晶体</w:t>
            </w:r>
            <w:r>
              <w:rPr>
                <w:rFonts w:hint="eastAsia" w:ascii="宋体" w:hAnsi="宋体"/>
                <w:snapToGrid w:val="0"/>
                <w:color w:val="auto"/>
                <w:sz w:val="24"/>
              </w:rPr>
              <w:t>并</w:t>
            </w:r>
            <w:r>
              <w:rPr>
                <w:rFonts w:ascii="宋体" w:hAnsi="宋体"/>
                <w:snapToGrid w:val="0"/>
                <w:color w:val="auto"/>
                <w:sz w:val="24"/>
              </w:rPr>
              <w:t>与</w:t>
            </w:r>
            <w:r>
              <w:rPr>
                <w:rFonts w:hint="eastAsia" w:ascii="宋体" w:hAnsi="宋体"/>
                <w:snapToGrid w:val="0"/>
                <w:color w:val="auto"/>
                <w:sz w:val="24"/>
              </w:rPr>
              <w:t>进口烟气带来的</w:t>
            </w:r>
            <w:r>
              <w:rPr>
                <w:rFonts w:ascii="宋体" w:hAnsi="宋体"/>
                <w:snapToGrid w:val="0"/>
                <w:color w:val="auto"/>
                <w:sz w:val="24"/>
              </w:rPr>
              <w:t>烟尘</w:t>
            </w:r>
            <w:r>
              <w:rPr>
                <w:rFonts w:hint="eastAsia" w:ascii="宋体" w:hAnsi="宋体"/>
                <w:snapToGrid w:val="0"/>
                <w:color w:val="auto"/>
                <w:sz w:val="24"/>
              </w:rPr>
              <w:t>结合</w:t>
            </w:r>
            <w:r>
              <w:rPr>
                <w:rFonts w:ascii="宋体" w:hAnsi="宋体"/>
                <w:snapToGrid w:val="0"/>
                <w:color w:val="auto"/>
                <w:sz w:val="24"/>
              </w:rPr>
              <w:t>形成脱硫产物。</w:t>
            </w:r>
          </w:p>
          <w:p>
            <w:pPr>
              <w:pStyle w:val="2"/>
              <w:spacing w:line="360" w:lineRule="auto"/>
              <w:ind w:firstLine="480"/>
              <w:rPr>
                <w:rFonts w:ascii="宋体" w:hAnsi="宋体"/>
                <w:snapToGrid w:val="0"/>
                <w:color w:val="auto"/>
                <w:sz w:val="24"/>
              </w:rPr>
            </w:pPr>
            <w:r>
              <w:rPr>
                <w:rFonts w:ascii="宋体" w:hAnsi="宋体"/>
                <w:snapToGrid w:val="0"/>
                <w:color w:val="auto"/>
                <w:sz w:val="24"/>
              </w:rPr>
              <w:t>脱硫产物</w:t>
            </w:r>
            <w:r>
              <w:rPr>
                <w:rFonts w:hint="eastAsia" w:ascii="宋体" w:hAnsi="宋体"/>
                <w:snapToGrid w:val="0"/>
                <w:color w:val="auto"/>
                <w:sz w:val="24"/>
              </w:rPr>
              <w:t>随烟气进入后续离线反吹型袋式除尘器，回收硫酸铵作为副产品外售，烟气经除尘处理后经烟囱排放</w:t>
            </w:r>
            <w:r>
              <w:rPr>
                <w:rFonts w:ascii="宋体" w:hAnsi="宋体"/>
                <w:snapToGrid w:val="0"/>
                <w:color w:val="auto"/>
                <w:sz w:val="24"/>
              </w:rPr>
              <w:t>。</w:t>
            </w:r>
          </w:p>
          <w:p>
            <w:pPr>
              <w:pStyle w:val="2"/>
              <w:spacing w:line="360" w:lineRule="auto"/>
              <w:ind w:firstLine="480"/>
              <w:rPr>
                <w:rFonts w:ascii="宋体" w:hAnsi="宋体"/>
                <w:snapToGrid w:val="0"/>
                <w:color w:val="auto"/>
                <w:sz w:val="24"/>
              </w:rPr>
            </w:pPr>
            <w:r>
              <w:rPr>
                <w:rFonts w:ascii="宋体" w:hAnsi="宋体"/>
                <w:snapToGrid w:val="0"/>
                <w:color w:val="auto"/>
                <w:sz w:val="24"/>
              </w:rPr>
              <w:t>整个脱硫过程中利用</w:t>
            </w:r>
            <w:r>
              <w:rPr>
                <w:rFonts w:hint="eastAsia" w:ascii="宋体" w:hAnsi="宋体"/>
                <w:snapToGrid w:val="0"/>
                <w:color w:val="auto"/>
                <w:sz w:val="24"/>
              </w:rPr>
              <w:t>烟气在线监测系统SO</w:t>
            </w:r>
            <w:r>
              <w:rPr>
                <w:rFonts w:hint="eastAsia" w:ascii="宋体" w:hAnsi="宋体"/>
                <w:snapToGrid w:val="0"/>
                <w:color w:val="auto"/>
                <w:sz w:val="24"/>
                <w:vertAlign w:val="subscript"/>
              </w:rPr>
              <w:t>2</w:t>
            </w:r>
            <w:r>
              <w:rPr>
                <w:rFonts w:hint="eastAsia" w:ascii="宋体" w:hAnsi="宋体"/>
                <w:snapToGrid w:val="0"/>
                <w:color w:val="auto"/>
                <w:sz w:val="24"/>
              </w:rPr>
              <w:t>监测结果</w:t>
            </w:r>
            <w:r>
              <w:rPr>
                <w:rFonts w:ascii="宋体" w:hAnsi="宋体"/>
                <w:snapToGrid w:val="0"/>
                <w:color w:val="auto"/>
                <w:sz w:val="24"/>
              </w:rPr>
              <w:t>转换成模拟数据反馈到DCS显示屏上</w:t>
            </w:r>
            <w:r>
              <w:rPr>
                <w:rFonts w:hint="eastAsia" w:ascii="宋体" w:hAnsi="宋体"/>
                <w:snapToGrid w:val="0"/>
                <w:color w:val="auto"/>
                <w:sz w:val="24"/>
              </w:rPr>
              <w:t>，自动</w:t>
            </w:r>
            <w:r>
              <w:rPr>
                <w:rFonts w:ascii="宋体" w:hAnsi="宋体"/>
                <w:snapToGrid w:val="0"/>
                <w:color w:val="auto"/>
                <w:sz w:val="24"/>
              </w:rPr>
              <w:t>利用</w:t>
            </w:r>
            <w:r>
              <w:rPr>
                <w:rFonts w:hint="eastAsia" w:ascii="宋体" w:hAnsi="宋体"/>
                <w:snapToGrid w:val="0"/>
                <w:color w:val="auto"/>
                <w:sz w:val="24"/>
              </w:rPr>
              <w:t>调节阀</w:t>
            </w:r>
            <w:r>
              <w:rPr>
                <w:rFonts w:ascii="宋体" w:hAnsi="宋体"/>
                <w:snapToGrid w:val="0"/>
                <w:color w:val="auto"/>
                <w:sz w:val="24"/>
              </w:rPr>
              <w:t>控制脱硫剂的投入量以达到脱硫效果。</w:t>
            </w:r>
          </w:p>
          <w:p>
            <w:pPr>
              <w:pStyle w:val="2"/>
              <w:spacing w:line="360" w:lineRule="auto"/>
              <w:ind w:firstLine="480"/>
              <w:rPr>
                <w:rFonts w:ascii="宋体" w:hAnsi="宋体"/>
                <w:snapToGrid w:val="0"/>
                <w:color w:val="auto"/>
                <w:sz w:val="24"/>
              </w:rPr>
            </w:pPr>
            <w:r>
              <w:rPr>
                <w:rFonts w:hint="eastAsia" w:ascii="宋体" w:hAnsi="宋体"/>
                <w:snapToGrid w:val="0"/>
                <w:color w:val="auto"/>
                <w:sz w:val="24"/>
              </w:rPr>
              <w:t>氨法半干法脱硫主要反应过程包括：</w:t>
            </w:r>
          </w:p>
          <w:p>
            <w:pPr>
              <w:pStyle w:val="2"/>
              <w:spacing w:line="360" w:lineRule="auto"/>
              <w:ind w:firstLine="480"/>
              <w:rPr>
                <w:rFonts w:ascii="宋体" w:hAnsi="宋体"/>
                <w:snapToGrid w:val="0"/>
                <w:color w:val="auto"/>
                <w:sz w:val="24"/>
              </w:rPr>
            </w:pPr>
            <w:r>
              <w:rPr>
                <w:rFonts w:ascii="宋体" w:hAnsi="宋体"/>
                <w:snapToGrid w:val="0"/>
                <w:color w:val="auto"/>
                <w:sz w:val="24"/>
              </w:rPr>
              <w:fldChar w:fldCharType="begin"/>
            </w:r>
            <w:r>
              <w:rPr>
                <w:rFonts w:hint="eastAsia" w:ascii="宋体" w:hAnsi="宋体"/>
                <w:snapToGrid w:val="0"/>
                <w:color w:val="auto"/>
                <w:sz w:val="24"/>
              </w:rPr>
              <w:instrText xml:space="preserve">= 1 \* GB2</w:instrText>
            </w:r>
            <w:r>
              <w:rPr>
                <w:rFonts w:ascii="宋体" w:hAnsi="宋体"/>
                <w:snapToGrid w:val="0"/>
                <w:color w:val="auto"/>
                <w:sz w:val="24"/>
              </w:rPr>
              <w:fldChar w:fldCharType="separate"/>
            </w:r>
            <w:r>
              <w:rPr>
                <w:rFonts w:hint="eastAsia" w:ascii="宋体" w:hAnsi="宋体"/>
                <w:snapToGrid w:val="0"/>
                <w:color w:val="auto"/>
                <w:sz w:val="24"/>
              </w:rPr>
              <w:t>⑴</w:t>
            </w:r>
            <w:r>
              <w:rPr>
                <w:rFonts w:ascii="宋体" w:hAnsi="宋体"/>
                <w:snapToGrid w:val="0"/>
                <w:color w:val="auto"/>
                <w:sz w:val="24"/>
              </w:rPr>
              <w:fldChar w:fldCharType="end"/>
            </w:r>
            <w:r>
              <w:rPr>
                <w:rFonts w:hint="eastAsia" w:ascii="宋体" w:hAnsi="宋体"/>
                <w:snapToGrid w:val="0"/>
                <w:color w:val="auto"/>
                <w:sz w:val="24"/>
              </w:rPr>
              <w:t>物理吸收：二氧化硫溶于水生成亚硫酸</w:t>
            </w:r>
          </w:p>
          <w:p>
            <w:pPr>
              <w:pStyle w:val="2"/>
              <w:spacing w:line="360" w:lineRule="auto"/>
              <w:ind w:firstLine="480"/>
              <w:jc w:val="center"/>
              <w:rPr>
                <w:snapToGrid w:val="0"/>
                <w:color w:val="auto"/>
                <w:sz w:val="24"/>
              </w:rPr>
            </w:pPr>
            <w:r>
              <w:rPr>
                <w:snapToGrid w:val="0"/>
                <w:color w:val="auto"/>
                <w:sz w:val="24"/>
              </w:rPr>
              <w:t>反应式：SO</w:t>
            </w:r>
            <w:r>
              <w:rPr>
                <w:snapToGrid w:val="0"/>
                <w:color w:val="auto"/>
                <w:sz w:val="24"/>
                <w:vertAlign w:val="subscript"/>
              </w:rPr>
              <w:t>2</w:t>
            </w:r>
            <w:r>
              <w:rPr>
                <w:snapToGrid w:val="0"/>
                <w:color w:val="auto"/>
                <w:sz w:val="24"/>
              </w:rPr>
              <w:t>＋H</w:t>
            </w:r>
            <w:r>
              <w:rPr>
                <w:snapToGrid w:val="0"/>
                <w:color w:val="auto"/>
                <w:sz w:val="24"/>
                <w:vertAlign w:val="subscript"/>
              </w:rPr>
              <w:t>2</w:t>
            </w:r>
            <w:r>
              <w:rPr>
                <w:snapToGrid w:val="0"/>
                <w:color w:val="auto"/>
                <w:sz w:val="24"/>
              </w:rPr>
              <w:t>O→H</w:t>
            </w:r>
            <w:r>
              <w:rPr>
                <w:snapToGrid w:val="0"/>
                <w:color w:val="auto"/>
                <w:sz w:val="24"/>
                <w:vertAlign w:val="subscript"/>
              </w:rPr>
              <w:t>2</w:t>
            </w:r>
            <w:r>
              <w:rPr>
                <w:snapToGrid w:val="0"/>
                <w:color w:val="auto"/>
                <w:sz w:val="24"/>
              </w:rPr>
              <w:t>SO</w:t>
            </w:r>
            <w:r>
              <w:rPr>
                <w:snapToGrid w:val="0"/>
                <w:color w:val="auto"/>
                <w:sz w:val="24"/>
                <w:vertAlign w:val="subscript"/>
              </w:rPr>
              <w:t>3</w:t>
            </w:r>
          </w:p>
          <w:p>
            <w:pPr>
              <w:pStyle w:val="2"/>
              <w:spacing w:line="360" w:lineRule="auto"/>
              <w:ind w:firstLine="480"/>
              <w:rPr>
                <w:snapToGrid w:val="0"/>
                <w:color w:val="auto"/>
                <w:sz w:val="24"/>
              </w:rPr>
            </w:pPr>
            <w:r>
              <w:rPr>
                <w:snapToGrid w:val="0"/>
                <w:color w:val="auto"/>
                <w:sz w:val="24"/>
              </w:rPr>
              <w:fldChar w:fldCharType="begin"/>
            </w:r>
            <w:r>
              <w:rPr>
                <w:snapToGrid w:val="0"/>
                <w:color w:val="auto"/>
                <w:sz w:val="24"/>
              </w:rPr>
              <w:instrText xml:space="preserve"> = 2 \* GB2 </w:instrText>
            </w:r>
            <w:r>
              <w:rPr>
                <w:snapToGrid w:val="0"/>
                <w:color w:val="auto"/>
                <w:sz w:val="24"/>
              </w:rPr>
              <w:fldChar w:fldCharType="separate"/>
            </w:r>
            <w:r>
              <w:rPr>
                <w:rFonts w:hint="eastAsia" w:ascii="宋体" w:hAnsi="宋体" w:cs="宋体"/>
                <w:snapToGrid w:val="0"/>
                <w:color w:val="auto"/>
                <w:sz w:val="24"/>
              </w:rPr>
              <w:t>⑵</w:t>
            </w:r>
            <w:r>
              <w:rPr>
                <w:snapToGrid w:val="0"/>
                <w:color w:val="auto"/>
                <w:sz w:val="24"/>
              </w:rPr>
              <w:fldChar w:fldCharType="end"/>
            </w:r>
            <w:r>
              <w:rPr>
                <w:snapToGrid w:val="0"/>
                <w:color w:val="auto"/>
                <w:sz w:val="24"/>
              </w:rPr>
              <w:t>化学吸收：氨水与亚硫酸生成亚硫酸铵</w:t>
            </w:r>
          </w:p>
          <w:p>
            <w:pPr>
              <w:pStyle w:val="2"/>
              <w:spacing w:line="360" w:lineRule="auto"/>
              <w:ind w:firstLine="480"/>
              <w:jc w:val="center"/>
              <w:rPr>
                <w:snapToGrid w:val="0"/>
                <w:color w:val="auto"/>
                <w:sz w:val="24"/>
              </w:rPr>
            </w:pPr>
            <w:r>
              <w:rPr>
                <w:snapToGrid w:val="0"/>
                <w:color w:val="auto"/>
                <w:sz w:val="24"/>
              </w:rPr>
              <w:t>反应式： 2NH</w:t>
            </w:r>
            <w:r>
              <w:rPr>
                <w:snapToGrid w:val="0"/>
                <w:color w:val="auto"/>
                <w:sz w:val="24"/>
                <w:vertAlign w:val="subscript"/>
              </w:rPr>
              <w:t>3</w:t>
            </w:r>
            <w:r>
              <w:rPr>
                <w:snapToGrid w:val="0"/>
                <w:color w:val="auto"/>
                <w:sz w:val="24"/>
              </w:rPr>
              <w:t>·H</w:t>
            </w:r>
            <w:r>
              <w:rPr>
                <w:snapToGrid w:val="0"/>
                <w:color w:val="auto"/>
                <w:sz w:val="24"/>
                <w:vertAlign w:val="subscript"/>
              </w:rPr>
              <w:t>2</w:t>
            </w:r>
            <w:r>
              <w:rPr>
                <w:snapToGrid w:val="0"/>
                <w:color w:val="auto"/>
                <w:sz w:val="24"/>
              </w:rPr>
              <w:t>O＋H</w:t>
            </w:r>
            <w:r>
              <w:rPr>
                <w:snapToGrid w:val="0"/>
                <w:color w:val="auto"/>
                <w:sz w:val="24"/>
                <w:vertAlign w:val="subscript"/>
              </w:rPr>
              <w:t>2</w:t>
            </w:r>
            <w:r>
              <w:rPr>
                <w:snapToGrid w:val="0"/>
                <w:color w:val="auto"/>
                <w:sz w:val="24"/>
              </w:rPr>
              <w:t>SO</w:t>
            </w:r>
            <w:r>
              <w:rPr>
                <w:snapToGrid w:val="0"/>
                <w:color w:val="auto"/>
                <w:sz w:val="24"/>
                <w:vertAlign w:val="subscript"/>
              </w:rPr>
              <w:t>3</w:t>
            </w:r>
            <w:r>
              <w:rPr>
                <w:snapToGrid w:val="0"/>
                <w:color w:val="auto"/>
                <w:sz w:val="24"/>
              </w:rPr>
              <w:t>＝(NH</w:t>
            </w:r>
            <w:r>
              <w:rPr>
                <w:snapToGrid w:val="0"/>
                <w:color w:val="auto"/>
                <w:sz w:val="24"/>
                <w:vertAlign w:val="subscript"/>
              </w:rPr>
              <w:t>4</w:t>
            </w:r>
            <w:r>
              <w:rPr>
                <w:snapToGrid w:val="0"/>
                <w:color w:val="auto"/>
                <w:sz w:val="24"/>
              </w:rPr>
              <w:t>)</w:t>
            </w:r>
            <w:r>
              <w:rPr>
                <w:snapToGrid w:val="0"/>
                <w:color w:val="auto"/>
                <w:sz w:val="24"/>
                <w:vertAlign w:val="subscript"/>
              </w:rPr>
              <w:t>2</w:t>
            </w:r>
            <w:r>
              <w:rPr>
                <w:snapToGrid w:val="0"/>
                <w:color w:val="auto"/>
                <w:sz w:val="24"/>
              </w:rPr>
              <w:t>SO</w:t>
            </w:r>
            <w:r>
              <w:rPr>
                <w:snapToGrid w:val="0"/>
                <w:color w:val="auto"/>
                <w:sz w:val="24"/>
                <w:vertAlign w:val="subscript"/>
              </w:rPr>
              <w:t>3</w:t>
            </w:r>
            <w:r>
              <w:rPr>
                <w:snapToGrid w:val="0"/>
                <w:color w:val="auto"/>
                <w:sz w:val="24"/>
              </w:rPr>
              <w:t>＋2H</w:t>
            </w:r>
            <w:r>
              <w:rPr>
                <w:snapToGrid w:val="0"/>
                <w:color w:val="auto"/>
                <w:sz w:val="24"/>
                <w:vertAlign w:val="subscript"/>
              </w:rPr>
              <w:t>2</w:t>
            </w:r>
            <w:r>
              <w:rPr>
                <w:snapToGrid w:val="0"/>
                <w:color w:val="auto"/>
                <w:sz w:val="24"/>
              </w:rPr>
              <w:t>O</w:t>
            </w:r>
          </w:p>
          <w:p>
            <w:pPr>
              <w:pStyle w:val="2"/>
              <w:spacing w:line="360" w:lineRule="auto"/>
              <w:ind w:firstLine="480"/>
              <w:rPr>
                <w:snapToGrid w:val="0"/>
                <w:color w:val="auto"/>
                <w:sz w:val="24"/>
              </w:rPr>
            </w:pPr>
            <w:r>
              <w:rPr>
                <w:snapToGrid w:val="0"/>
                <w:color w:val="auto"/>
                <w:sz w:val="24"/>
              </w:rPr>
              <w:fldChar w:fldCharType="begin"/>
            </w:r>
            <w:r>
              <w:rPr>
                <w:snapToGrid w:val="0"/>
                <w:color w:val="auto"/>
                <w:sz w:val="24"/>
              </w:rPr>
              <w:instrText xml:space="preserve"> = 3 \* GB2 </w:instrText>
            </w:r>
            <w:r>
              <w:rPr>
                <w:snapToGrid w:val="0"/>
                <w:color w:val="auto"/>
                <w:sz w:val="24"/>
              </w:rPr>
              <w:fldChar w:fldCharType="separate"/>
            </w:r>
            <w:r>
              <w:rPr>
                <w:rFonts w:hint="eastAsia" w:ascii="宋体" w:hAnsi="宋体" w:cs="宋体"/>
                <w:snapToGrid w:val="0"/>
                <w:color w:val="auto"/>
                <w:sz w:val="24"/>
              </w:rPr>
              <w:t>⑶</w:t>
            </w:r>
            <w:r>
              <w:rPr>
                <w:snapToGrid w:val="0"/>
                <w:color w:val="auto"/>
                <w:sz w:val="24"/>
              </w:rPr>
              <w:fldChar w:fldCharType="end"/>
            </w:r>
            <w:r>
              <w:rPr>
                <w:snapToGrid w:val="0"/>
                <w:color w:val="auto"/>
                <w:sz w:val="24"/>
              </w:rPr>
              <w:t>亚硫酸铵转变为硫酸铵</w:t>
            </w:r>
          </w:p>
          <w:p>
            <w:pPr>
              <w:pStyle w:val="2"/>
              <w:spacing w:line="360" w:lineRule="auto"/>
              <w:ind w:firstLine="480"/>
              <w:jc w:val="center"/>
              <w:rPr>
                <w:snapToGrid w:val="0"/>
                <w:color w:val="auto"/>
                <w:sz w:val="24"/>
                <w:vertAlign w:val="subscript"/>
              </w:rPr>
            </w:pPr>
            <w:r>
              <w:rPr>
                <w:snapToGrid w:val="0"/>
                <w:color w:val="auto"/>
                <w:sz w:val="24"/>
              </w:rPr>
              <w:t>反应式：(NH</w:t>
            </w:r>
            <w:r>
              <w:rPr>
                <w:snapToGrid w:val="0"/>
                <w:color w:val="auto"/>
                <w:sz w:val="24"/>
                <w:vertAlign w:val="subscript"/>
              </w:rPr>
              <w:t>4</w:t>
            </w:r>
            <w:r>
              <w:rPr>
                <w:snapToGrid w:val="0"/>
                <w:color w:val="auto"/>
                <w:sz w:val="24"/>
              </w:rPr>
              <w:t>)</w:t>
            </w:r>
            <w:r>
              <w:rPr>
                <w:snapToGrid w:val="0"/>
                <w:color w:val="auto"/>
                <w:sz w:val="24"/>
                <w:vertAlign w:val="subscript"/>
              </w:rPr>
              <w:t>2</w:t>
            </w:r>
            <w:r>
              <w:rPr>
                <w:snapToGrid w:val="0"/>
                <w:color w:val="auto"/>
                <w:sz w:val="24"/>
              </w:rPr>
              <w:t>SO</w:t>
            </w:r>
            <w:r>
              <w:rPr>
                <w:snapToGrid w:val="0"/>
                <w:color w:val="auto"/>
                <w:sz w:val="24"/>
                <w:vertAlign w:val="subscript"/>
              </w:rPr>
              <w:t>3</w:t>
            </w:r>
            <w:r>
              <w:rPr>
                <w:snapToGrid w:val="0"/>
                <w:color w:val="auto"/>
                <w:sz w:val="24"/>
              </w:rPr>
              <w:t>+1/2O</w:t>
            </w:r>
            <w:r>
              <w:rPr>
                <w:snapToGrid w:val="0"/>
                <w:color w:val="auto"/>
                <w:sz w:val="24"/>
                <w:vertAlign w:val="subscript"/>
              </w:rPr>
              <w:t>2</w:t>
            </w:r>
            <w:r>
              <w:rPr>
                <w:snapToGrid w:val="0"/>
                <w:color w:val="auto"/>
                <w:sz w:val="24"/>
              </w:rPr>
              <w:t>→(NH</w:t>
            </w:r>
            <w:r>
              <w:rPr>
                <w:snapToGrid w:val="0"/>
                <w:color w:val="auto"/>
                <w:sz w:val="24"/>
                <w:vertAlign w:val="subscript"/>
              </w:rPr>
              <w:t>4</w:t>
            </w:r>
            <w:r>
              <w:rPr>
                <w:snapToGrid w:val="0"/>
                <w:color w:val="auto"/>
                <w:sz w:val="24"/>
              </w:rPr>
              <w:t>)</w:t>
            </w:r>
            <w:r>
              <w:rPr>
                <w:snapToGrid w:val="0"/>
                <w:color w:val="auto"/>
                <w:sz w:val="24"/>
                <w:vertAlign w:val="subscript"/>
              </w:rPr>
              <w:t>2</w:t>
            </w:r>
            <w:r>
              <w:rPr>
                <w:snapToGrid w:val="0"/>
                <w:color w:val="auto"/>
                <w:sz w:val="24"/>
              </w:rPr>
              <w:t>SO</w:t>
            </w:r>
            <w:r>
              <w:rPr>
                <w:snapToGrid w:val="0"/>
                <w:color w:val="auto"/>
                <w:sz w:val="24"/>
                <w:vertAlign w:val="subscript"/>
              </w:rPr>
              <w:t>4</w:t>
            </w:r>
          </w:p>
          <w:p>
            <w:pPr>
              <w:pStyle w:val="2"/>
              <w:spacing w:line="360" w:lineRule="auto"/>
              <w:ind w:firstLine="480"/>
              <w:rPr>
                <w:snapToGrid w:val="0"/>
                <w:color w:val="auto"/>
                <w:sz w:val="24"/>
              </w:rPr>
            </w:pPr>
            <w:r>
              <w:rPr>
                <w:snapToGrid w:val="0"/>
                <w:color w:val="auto"/>
                <w:sz w:val="24"/>
              </w:rPr>
              <w:t>氨法半干法脱硫方案由以下系统组成：</w:t>
            </w:r>
          </w:p>
          <w:p>
            <w:pPr>
              <w:pStyle w:val="2"/>
              <w:spacing w:line="360" w:lineRule="auto"/>
              <w:ind w:firstLine="480"/>
              <w:rPr>
                <w:snapToGrid w:val="0"/>
                <w:color w:val="auto"/>
                <w:sz w:val="24"/>
              </w:rPr>
            </w:pPr>
            <w:r>
              <w:rPr>
                <w:snapToGrid w:val="0"/>
                <w:color w:val="auto"/>
                <w:sz w:val="24"/>
              </w:rPr>
              <w:t>a.烟气系统</w:t>
            </w:r>
          </w:p>
          <w:p>
            <w:pPr>
              <w:pStyle w:val="2"/>
              <w:spacing w:line="360" w:lineRule="auto"/>
              <w:ind w:firstLine="480"/>
              <w:rPr>
                <w:snapToGrid w:val="0"/>
                <w:color w:val="auto"/>
                <w:sz w:val="24"/>
              </w:rPr>
            </w:pPr>
            <w:r>
              <w:rPr>
                <w:snapToGrid w:val="0"/>
                <w:color w:val="auto"/>
                <w:sz w:val="24"/>
              </w:rPr>
              <w:t>脱硫烟气接自主抽风机消音器后的出口烟道，经脱硫、颗粒收集后的洁净烟气返回至现有烟囱排至大气中，脱硫后烟气颗粒物经袋式收集器后的排放浓度≤5mg/Nm</w:t>
            </w:r>
            <w:r>
              <w:rPr>
                <w:snapToGrid w:val="0"/>
                <w:color w:val="auto"/>
                <w:sz w:val="24"/>
                <w:vertAlign w:val="superscript"/>
              </w:rPr>
              <w:t>3</w:t>
            </w:r>
            <w:r>
              <w:rPr>
                <w:snapToGrid w:val="0"/>
                <w:color w:val="auto"/>
                <w:sz w:val="24"/>
              </w:rPr>
              <w:t>。</w:t>
            </w:r>
          </w:p>
          <w:p>
            <w:pPr>
              <w:pStyle w:val="2"/>
              <w:spacing w:line="360" w:lineRule="auto"/>
              <w:ind w:firstLine="482"/>
              <w:rPr>
                <w:rFonts w:ascii="宋体" w:hAnsi="宋体"/>
                <w:b/>
                <w:bCs/>
                <w:snapToGrid w:val="0"/>
                <w:color w:val="auto"/>
                <w:sz w:val="24"/>
              </w:rPr>
            </w:pPr>
            <w:r>
              <w:rPr>
                <w:rFonts w:hint="eastAsia" w:ascii="宋体" w:hAnsi="宋体"/>
                <w:b/>
                <w:bCs/>
                <w:snapToGrid w:val="0"/>
                <w:color w:val="auto"/>
                <w:sz w:val="24"/>
              </w:rPr>
              <w:t>b.脱硫系统</w:t>
            </w:r>
          </w:p>
          <w:p>
            <w:pPr>
              <w:pStyle w:val="2"/>
              <w:spacing w:line="360" w:lineRule="auto"/>
              <w:ind w:firstLine="480"/>
              <w:rPr>
                <w:snapToGrid w:val="0"/>
                <w:color w:val="auto"/>
                <w:sz w:val="24"/>
              </w:rPr>
            </w:pPr>
            <w:r>
              <w:rPr>
                <w:snapToGrid w:val="0"/>
                <w:color w:val="auto"/>
                <w:sz w:val="24"/>
              </w:rPr>
              <w:t>本工程采用氨法半干法技术，以浓度</w:t>
            </w:r>
            <w:r>
              <w:rPr>
                <w:rFonts w:hint="eastAsia"/>
                <w:snapToGrid w:val="0"/>
                <w:color w:val="auto"/>
                <w:sz w:val="24"/>
              </w:rPr>
              <w:t>为</w:t>
            </w:r>
            <w:r>
              <w:rPr>
                <w:snapToGrid w:val="0"/>
                <w:color w:val="auto"/>
                <w:sz w:val="24"/>
              </w:rPr>
              <w:t>3%的氨水作为脱硫剂，用泵增压将其雾化，在脱硫装置中与烟气中的二氧化硫发生反应生成亚硫酸铵和硫酸铵，达到脱除二氧化硫的目的；系统通过自动控制氨水喷洒量和SO</w:t>
            </w:r>
            <w:r>
              <w:rPr>
                <w:snapToGrid w:val="0"/>
                <w:color w:val="auto"/>
                <w:sz w:val="24"/>
                <w:vertAlign w:val="subscript"/>
              </w:rPr>
              <w:t>2</w:t>
            </w:r>
            <w:r>
              <w:rPr>
                <w:snapToGrid w:val="0"/>
                <w:color w:val="auto"/>
                <w:sz w:val="24"/>
              </w:rPr>
              <w:t>排放量保证脱硫后的SO</w:t>
            </w:r>
            <w:r>
              <w:rPr>
                <w:snapToGrid w:val="0"/>
                <w:color w:val="auto"/>
                <w:sz w:val="24"/>
                <w:vertAlign w:val="subscript"/>
              </w:rPr>
              <w:t>2</w:t>
            </w:r>
            <w:r>
              <w:rPr>
                <w:snapToGrid w:val="0"/>
                <w:color w:val="auto"/>
                <w:sz w:val="24"/>
              </w:rPr>
              <w:t>排放浓度≤35mg/Nm</w:t>
            </w:r>
            <w:r>
              <w:rPr>
                <w:snapToGrid w:val="0"/>
                <w:color w:val="auto"/>
                <w:sz w:val="24"/>
                <w:vertAlign w:val="superscript"/>
              </w:rPr>
              <w:t>3</w:t>
            </w:r>
            <w:r>
              <w:rPr>
                <w:snapToGrid w:val="0"/>
                <w:color w:val="auto"/>
                <w:sz w:val="24"/>
              </w:rPr>
              <w:t>。</w:t>
            </w:r>
          </w:p>
          <w:p>
            <w:pPr>
              <w:pStyle w:val="2"/>
              <w:spacing w:line="360" w:lineRule="auto"/>
              <w:ind w:firstLine="480"/>
              <w:rPr>
                <w:rFonts w:ascii="宋体" w:hAnsi="宋体"/>
                <w:snapToGrid w:val="0"/>
                <w:color w:val="auto"/>
                <w:sz w:val="24"/>
              </w:rPr>
            </w:pPr>
            <w:r>
              <w:rPr>
                <w:rFonts w:hint="eastAsia" w:ascii="宋体" w:hAnsi="宋体"/>
                <w:snapToGrid w:val="0"/>
                <w:color w:val="auto"/>
                <w:sz w:val="24"/>
              </w:rPr>
              <w:t>c.储、配、供氨系统</w:t>
            </w:r>
          </w:p>
          <w:p>
            <w:pPr>
              <w:pStyle w:val="2"/>
              <w:spacing w:line="360" w:lineRule="auto"/>
              <w:ind w:firstLine="480"/>
              <w:rPr>
                <w:rFonts w:ascii="宋体" w:hAnsi="宋体"/>
                <w:snapToGrid w:val="0"/>
                <w:color w:val="auto"/>
                <w:sz w:val="24"/>
              </w:rPr>
            </w:pPr>
            <w:r>
              <w:rPr>
                <w:rFonts w:hint="eastAsia" w:ascii="宋体" w:hAnsi="宋体"/>
                <w:snapToGrid w:val="0"/>
                <w:color w:val="auto"/>
                <w:sz w:val="24"/>
              </w:rPr>
              <w:t>购入的浓度为20%的浓氨水贮存在浓氨储备罐。浓氨水与清水在调配罐中充分混合、稀释到</w:t>
            </w:r>
            <w:r>
              <w:rPr>
                <w:rFonts w:ascii="宋体" w:hAnsi="宋体"/>
                <w:snapToGrid w:val="0"/>
                <w:color w:val="auto"/>
                <w:sz w:val="24"/>
              </w:rPr>
              <w:t>3</w:t>
            </w:r>
            <w:r>
              <w:rPr>
                <w:rFonts w:hint="eastAsia" w:ascii="宋体" w:hAnsi="宋体"/>
                <w:snapToGrid w:val="0"/>
                <w:color w:val="auto"/>
                <w:sz w:val="24"/>
              </w:rPr>
              <w:t>%的稀氨水溶液，作为脱硫剂使用。调配好的脱硫剂通过变频泵送入脱硫装置。</w:t>
            </w:r>
          </w:p>
          <w:p>
            <w:pPr>
              <w:pStyle w:val="2"/>
              <w:spacing w:line="360" w:lineRule="auto"/>
              <w:ind w:firstLine="480"/>
              <w:rPr>
                <w:rFonts w:ascii="宋体" w:hAnsi="宋体"/>
                <w:snapToGrid w:val="0"/>
                <w:color w:val="auto"/>
                <w:sz w:val="24"/>
              </w:rPr>
            </w:pPr>
            <w:r>
              <w:rPr>
                <w:rFonts w:hint="eastAsia" w:ascii="宋体" w:hAnsi="宋体"/>
                <w:snapToGrid w:val="0"/>
                <w:color w:val="auto"/>
                <w:sz w:val="24"/>
              </w:rPr>
              <w:t>d.回收装置</w:t>
            </w:r>
          </w:p>
          <w:p>
            <w:pPr>
              <w:pStyle w:val="2"/>
              <w:spacing w:line="360" w:lineRule="auto"/>
              <w:ind w:firstLine="480"/>
              <w:rPr>
                <w:rFonts w:ascii="宋体" w:hAnsi="宋体"/>
                <w:snapToGrid w:val="0"/>
                <w:color w:val="auto"/>
                <w:sz w:val="24"/>
              </w:rPr>
            </w:pPr>
            <w:r>
              <w:rPr>
                <w:rFonts w:hint="eastAsia" w:ascii="宋体" w:hAnsi="宋体"/>
                <w:snapToGrid w:val="0"/>
                <w:color w:val="auto"/>
                <w:sz w:val="24"/>
              </w:rPr>
              <w:t>脱硫装置生成的亚硫酸铵和硫酸铵颗粒以及烟气中携带的烟尘经袋式收集器回收装置收集，然收装袋储存、外运。</w:t>
            </w:r>
          </w:p>
          <w:p>
            <w:pPr>
              <w:spacing w:line="360" w:lineRule="auto"/>
              <w:ind w:firstLine="480" w:firstLineChars="200"/>
              <w:rPr>
                <w:color w:val="auto"/>
                <w:sz w:val="24"/>
                <w:szCs w:val="24"/>
              </w:rPr>
            </w:pPr>
            <w:r>
              <w:rPr>
                <w:rFonts w:hint="eastAsia"/>
                <w:color w:val="auto"/>
                <w:sz w:val="24"/>
                <w:szCs w:val="24"/>
              </w:rPr>
              <w:t>本项目</w:t>
            </w:r>
            <w:r>
              <w:rPr>
                <w:color w:val="auto"/>
                <w:sz w:val="24"/>
                <w:szCs w:val="24"/>
              </w:rPr>
              <w:t>工艺流程图见图3。</w:t>
            </w:r>
          </w:p>
          <w:p>
            <w:pPr>
              <w:spacing w:line="360" w:lineRule="auto"/>
              <w:ind w:firstLine="420" w:firstLineChars="200"/>
              <w:jc w:val="center"/>
              <w:rPr>
                <w:color w:val="auto"/>
              </w:rPr>
            </w:pPr>
            <w:r>
              <w:rPr>
                <w:color w:val="auto"/>
              </w:rPr>
              <w:object>
                <v:shape id="_x0000_i1026" o:spt="75" type="#_x0000_t75" style="height:364.2pt;width:343.8pt;" o:ole="t" filled="f" o:preferrelative="t" stroked="f" coordsize="21600,21600">
                  <v:path/>
                  <v:fill on="f" focussize="0,0"/>
                  <v:stroke on="f"/>
                  <v:imagedata r:id="rId11" o:title=""/>
                  <o:lock v:ext="edit" aspectratio="t"/>
                  <w10:wrap type="none"/>
                  <w10:anchorlock/>
                </v:shape>
                <o:OLEObject Type="Embed" ProgID="Visio.Drawing.11" ShapeID="_x0000_i1026" DrawAspect="Content" ObjectID="_1468075727" r:id="rId10">
                  <o:LockedField>false</o:LockedField>
                </o:OLEObject>
              </w:object>
            </w:r>
          </w:p>
          <w:p>
            <w:pPr>
              <w:spacing w:line="360" w:lineRule="auto"/>
              <w:ind w:firstLine="482" w:firstLineChars="200"/>
              <w:jc w:val="center"/>
              <w:rPr>
                <w:b/>
                <w:color w:val="auto"/>
                <w:sz w:val="24"/>
                <w:szCs w:val="24"/>
              </w:rPr>
            </w:pPr>
            <w:r>
              <w:rPr>
                <w:b/>
                <w:color w:val="auto"/>
                <w:sz w:val="24"/>
                <w:szCs w:val="24"/>
              </w:rPr>
              <w:t>图3  项目生产工艺流程示意图</w:t>
            </w:r>
          </w:p>
          <w:p>
            <w:pPr>
              <w:spacing w:line="360" w:lineRule="auto"/>
              <w:ind w:firstLine="482" w:firstLineChars="200"/>
              <w:rPr>
                <w:b/>
                <w:color w:val="auto"/>
                <w:sz w:val="24"/>
                <w:szCs w:val="24"/>
              </w:rPr>
            </w:pPr>
          </w:p>
          <w:p>
            <w:pPr>
              <w:spacing w:line="360" w:lineRule="auto"/>
              <w:ind w:firstLine="482" w:firstLineChars="200"/>
              <w:rPr>
                <w:b/>
                <w:color w:val="auto"/>
                <w:sz w:val="24"/>
                <w:szCs w:val="24"/>
              </w:rPr>
            </w:pPr>
          </w:p>
          <w:p>
            <w:pPr>
              <w:spacing w:line="360" w:lineRule="auto"/>
              <w:ind w:firstLine="482" w:firstLineChars="200"/>
              <w:rPr>
                <w:b/>
                <w:color w:val="auto"/>
                <w:sz w:val="24"/>
                <w:szCs w:val="24"/>
              </w:rPr>
            </w:pPr>
          </w:p>
          <w:p>
            <w:pPr>
              <w:spacing w:line="360" w:lineRule="auto"/>
              <w:ind w:firstLine="482" w:firstLineChars="200"/>
              <w:rPr>
                <w:b/>
                <w:color w:val="auto"/>
                <w:sz w:val="24"/>
                <w:szCs w:val="24"/>
              </w:rPr>
            </w:pPr>
          </w:p>
          <w:p>
            <w:pPr>
              <w:spacing w:line="360" w:lineRule="auto"/>
              <w:ind w:firstLine="482" w:firstLineChars="200"/>
              <w:rPr>
                <w:b/>
                <w:color w:val="auto"/>
                <w:sz w:val="24"/>
                <w:szCs w:val="24"/>
              </w:rPr>
            </w:pPr>
          </w:p>
        </w:tc>
      </w:tr>
    </w:tbl>
    <w:p>
      <w:pPr>
        <w:spacing w:before="156" w:beforeLines="50" w:after="156" w:afterLines="50"/>
        <w:rPr>
          <w:color w:val="auto"/>
          <w:sz w:val="28"/>
          <w:szCs w:val="28"/>
        </w:rPr>
        <w:sectPr>
          <w:pgSz w:w="11906" w:h="16838"/>
          <w:pgMar w:top="1588" w:right="1134" w:bottom="1361" w:left="1701" w:header="851" w:footer="907" w:gutter="0"/>
          <w:cols w:space="425" w:num="1"/>
          <w:docGrid w:type="lines" w:linePitch="312" w:charSpace="0"/>
        </w:sectPr>
      </w:pPr>
    </w:p>
    <w:tbl>
      <w:tblPr>
        <w:tblStyle w:val="26"/>
        <w:tblW w:w="928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418" w:hRule="atLeast"/>
          <w:jc w:val="center"/>
        </w:trPr>
        <w:tc>
          <w:tcPr>
            <w:tcW w:w="9287" w:type="dxa"/>
          </w:tcPr>
          <w:p>
            <w:pPr>
              <w:spacing w:line="360" w:lineRule="auto"/>
              <w:ind w:firstLine="468"/>
              <w:rPr>
                <w:color w:val="auto"/>
                <w:sz w:val="24"/>
                <w:szCs w:val="24"/>
              </w:rPr>
            </w:pPr>
            <w:r>
              <w:rPr>
                <w:color w:val="auto"/>
                <w:sz w:val="24"/>
                <w:szCs w:val="24"/>
              </w:rPr>
              <w:t>2、系统工艺选择</w:t>
            </w:r>
          </w:p>
          <w:p>
            <w:pPr>
              <w:spacing w:line="360" w:lineRule="auto"/>
              <w:ind w:firstLine="480" w:firstLineChars="200"/>
              <w:rPr>
                <w:color w:val="auto"/>
                <w:sz w:val="24"/>
                <w:szCs w:val="24"/>
              </w:rPr>
            </w:pPr>
            <w:r>
              <w:rPr>
                <w:color w:val="auto"/>
                <w:sz w:val="24"/>
                <w:szCs w:val="24"/>
              </w:rPr>
              <w:t>目前大型工业锅炉最常用的脱硫方式有循环流化床炉内喷钙脱硫、石灰石(石灰)—石膏湿法烟气脱硫工艺、氨法烟气脱硫工艺。锅炉烟气脱硫方法的选择主要取决于锅炉容量、燃料的成分、脱硫剂的供应条件及相应的地理条件、副产品的利用等因素，根据项目的实际情况择优选择。</w:t>
            </w:r>
          </w:p>
          <w:p>
            <w:pPr>
              <w:spacing w:line="360" w:lineRule="auto"/>
              <w:ind w:firstLine="480" w:firstLineChars="200"/>
              <w:outlineLvl w:val="0"/>
              <w:rPr>
                <w:bCs/>
                <w:color w:val="auto"/>
                <w:sz w:val="24"/>
                <w:szCs w:val="24"/>
              </w:rPr>
            </w:pPr>
            <w:r>
              <w:rPr>
                <w:bCs/>
                <w:color w:val="auto"/>
                <w:sz w:val="24"/>
                <w:szCs w:val="24"/>
              </w:rPr>
              <w:fldChar w:fldCharType="begin"/>
            </w:r>
            <w:r>
              <w:rPr>
                <w:bCs/>
                <w:color w:val="auto"/>
                <w:sz w:val="24"/>
                <w:szCs w:val="24"/>
              </w:rPr>
              <w:instrText xml:space="preserve"> = 1 \* GB3 </w:instrText>
            </w:r>
            <w:r>
              <w:rPr>
                <w:bCs/>
                <w:color w:val="auto"/>
                <w:sz w:val="24"/>
                <w:szCs w:val="24"/>
              </w:rPr>
              <w:fldChar w:fldCharType="separate"/>
            </w:r>
            <w:r>
              <w:rPr>
                <w:rFonts w:hint="eastAsia" w:ascii="宋体" w:hAnsi="宋体" w:cs="宋体"/>
                <w:bCs/>
                <w:color w:val="auto"/>
                <w:sz w:val="24"/>
                <w:szCs w:val="24"/>
              </w:rPr>
              <w:t>①</w:t>
            </w:r>
            <w:r>
              <w:rPr>
                <w:bCs/>
                <w:color w:val="auto"/>
                <w:sz w:val="24"/>
                <w:szCs w:val="24"/>
              </w:rPr>
              <w:fldChar w:fldCharType="end"/>
            </w:r>
            <w:r>
              <w:rPr>
                <w:color w:val="auto"/>
                <w:sz w:val="24"/>
                <w:szCs w:val="24"/>
              </w:rPr>
              <w:t>循环流化床炉内喷钙脱硫</w:t>
            </w:r>
            <w:r>
              <w:rPr>
                <w:bCs/>
                <w:color w:val="auto"/>
                <w:sz w:val="24"/>
                <w:szCs w:val="24"/>
              </w:rPr>
              <w:t>工艺</w:t>
            </w:r>
          </w:p>
          <w:p>
            <w:pPr>
              <w:spacing w:line="360" w:lineRule="auto"/>
              <w:ind w:firstLine="480" w:firstLineChars="200"/>
              <w:rPr>
                <w:color w:val="auto"/>
                <w:sz w:val="24"/>
                <w:szCs w:val="24"/>
              </w:rPr>
            </w:pPr>
            <w:r>
              <w:rPr>
                <w:color w:val="auto"/>
                <w:sz w:val="24"/>
                <w:szCs w:val="24"/>
              </w:rPr>
              <w:t>炉内吹入法多应用于循环流化床锅炉，该工艺以石灰石为脱硫剂。燃料和石灰石被送入炉内，燃料燃烧和脱硫反应在炉内同时进行，在炉内煅烧后就能有效地吸收硫份,反应式如下：</w:t>
            </w:r>
          </w:p>
          <w:p>
            <w:pPr>
              <w:spacing w:line="360" w:lineRule="auto"/>
              <w:jc w:val="center"/>
              <w:outlineLvl w:val="0"/>
              <w:rPr>
                <w:color w:val="auto"/>
                <w:sz w:val="24"/>
                <w:szCs w:val="24"/>
                <w:vertAlign w:val="subscript"/>
              </w:rPr>
            </w:pPr>
            <w:r>
              <w:rPr>
                <w:color w:val="auto"/>
                <w:sz w:val="24"/>
                <w:szCs w:val="24"/>
              </w:rPr>
              <w:t>CaO+SO</w:t>
            </w:r>
            <w:r>
              <w:rPr>
                <w:color w:val="auto"/>
                <w:sz w:val="24"/>
                <w:szCs w:val="24"/>
                <w:vertAlign w:val="subscript"/>
              </w:rPr>
              <w:t>2</w:t>
            </w:r>
            <w:r>
              <w:rPr>
                <w:color w:val="auto"/>
                <w:sz w:val="24"/>
                <w:szCs w:val="24"/>
              </w:rPr>
              <w:t>+1/2O</w:t>
            </w:r>
            <w:r>
              <w:rPr>
                <w:color w:val="auto"/>
                <w:sz w:val="24"/>
                <w:szCs w:val="24"/>
                <w:vertAlign w:val="subscript"/>
              </w:rPr>
              <w:t>2</w:t>
            </w:r>
            <w:r>
              <w:rPr>
                <w:color w:val="auto"/>
                <w:sz w:val="24"/>
                <w:szCs w:val="24"/>
              </w:rPr>
              <w:t>→CaSO</w:t>
            </w:r>
            <w:r>
              <w:rPr>
                <w:color w:val="auto"/>
                <w:sz w:val="24"/>
                <w:szCs w:val="24"/>
                <w:vertAlign w:val="subscript"/>
              </w:rPr>
              <w:t>4</w:t>
            </w:r>
          </w:p>
          <w:p>
            <w:pPr>
              <w:spacing w:line="360" w:lineRule="auto"/>
              <w:ind w:firstLine="540"/>
              <w:rPr>
                <w:color w:val="auto"/>
                <w:sz w:val="24"/>
                <w:szCs w:val="24"/>
              </w:rPr>
            </w:pPr>
            <w:r>
              <w:rPr>
                <w:color w:val="auto"/>
                <w:sz w:val="24"/>
                <w:szCs w:val="24"/>
              </w:rPr>
              <w:t>影响循环流化床锅炉脱硫效率的因素主要有钙硫摩尔比Ca/S、床温以及石灰石粒度，国内已有多数循环流化床炉内脱硫实例。工业实践证明，钙硫摩尔比1.4～2.7，床温750～900℃，石灰石粒径0.1～3mm条件下，循环流化床锅炉的脱硫效率较好，可以达到60～90%。</w:t>
            </w:r>
          </w:p>
          <w:p>
            <w:pPr>
              <w:spacing w:line="360" w:lineRule="auto"/>
              <w:ind w:firstLine="480" w:firstLineChars="200"/>
              <w:rPr>
                <w:color w:val="auto"/>
                <w:sz w:val="24"/>
                <w:szCs w:val="24"/>
              </w:rPr>
            </w:pPr>
            <w:r>
              <w:rPr>
                <w:color w:val="auto"/>
                <w:sz w:val="24"/>
                <w:szCs w:val="24"/>
              </w:rPr>
              <w:t>该工艺产生的副产物为硫酸钙，直接进入炉渣，与炉渣一起进行处置或综合利用。</w:t>
            </w:r>
          </w:p>
          <w:p>
            <w:pPr>
              <w:spacing w:line="360" w:lineRule="auto"/>
              <w:ind w:firstLine="480" w:firstLineChars="200"/>
              <w:outlineLvl w:val="0"/>
              <w:rPr>
                <w:bCs/>
                <w:color w:val="auto"/>
                <w:sz w:val="24"/>
                <w:szCs w:val="24"/>
              </w:rPr>
            </w:pPr>
            <w:r>
              <w:rPr>
                <w:bCs/>
                <w:color w:val="auto"/>
                <w:sz w:val="24"/>
                <w:szCs w:val="24"/>
              </w:rPr>
              <w:fldChar w:fldCharType="begin"/>
            </w:r>
            <w:r>
              <w:rPr>
                <w:bCs/>
                <w:color w:val="auto"/>
                <w:sz w:val="24"/>
                <w:szCs w:val="24"/>
              </w:rPr>
              <w:instrText xml:space="preserve"> = 2 \* GB3 </w:instrText>
            </w:r>
            <w:r>
              <w:rPr>
                <w:bCs/>
                <w:color w:val="auto"/>
                <w:sz w:val="24"/>
                <w:szCs w:val="24"/>
              </w:rPr>
              <w:fldChar w:fldCharType="separate"/>
            </w:r>
            <w:r>
              <w:rPr>
                <w:rFonts w:hint="eastAsia" w:ascii="宋体" w:hAnsi="宋体" w:cs="宋体"/>
                <w:bCs/>
                <w:color w:val="auto"/>
                <w:sz w:val="24"/>
                <w:szCs w:val="24"/>
              </w:rPr>
              <w:t>②</w:t>
            </w:r>
            <w:r>
              <w:rPr>
                <w:bCs/>
                <w:color w:val="auto"/>
                <w:sz w:val="24"/>
                <w:szCs w:val="24"/>
              </w:rPr>
              <w:fldChar w:fldCharType="end"/>
            </w:r>
            <w:r>
              <w:rPr>
                <w:bCs/>
                <w:color w:val="auto"/>
                <w:sz w:val="24"/>
                <w:szCs w:val="24"/>
              </w:rPr>
              <w:t>石灰石(石灰)—石膏湿法烟气脱硫工艺</w:t>
            </w:r>
          </w:p>
          <w:p>
            <w:pPr>
              <w:spacing w:line="360" w:lineRule="auto"/>
              <w:ind w:firstLine="480" w:firstLineChars="200"/>
              <w:rPr>
                <w:color w:val="auto"/>
                <w:sz w:val="24"/>
                <w:szCs w:val="24"/>
              </w:rPr>
            </w:pPr>
            <w:r>
              <w:rPr>
                <w:color w:val="auto"/>
                <w:sz w:val="24"/>
                <w:szCs w:val="24"/>
              </w:rPr>
              <w:t>石灰石(石灰)—石膏湿法脱硫工艺采用石灰石或石灰作为脱硫吸收剂。石灰石经破碎磨细成粉状与水混合搅拌制成吸收剂浆，也可以将石灰石直接湿磨成石灰石浆液。在吸收塔内，吸收剂浆液与烟气接触混合，烟气中的SO</w:t>
            </w:r>
            <w:r>
              <w:rPr>
                <w:color w:val="auto"/>
                <w:sz w:val="24"/>
                <w:szCs w:val="24"/>
                <w:vertAlign w:val="subscript"/>
              </w:rPr>
              <w:t>2</w:t>
            </w:r>
            <w:r>
              <w:rPr>
                <w:color w:val="auto"/>
                <w:sz w:val="24"/>
                <w:szCs w:val="24"/>
              </w:rPr>
              <w:t>与浆液中的碳酸钙以及鼓入的氧化空气进行化学反应，最终反应产物为石膏。脱硫后的烟气经除雾器除去带出的细小液滴，经加热器加热升温后排入烟囱。脱硫石膏浆经脱水装置脱水后回收。由于吸收剂浆的循环利用，脱硫吸收剂的利用率很高。</w:t>
            </w:r>
          </w:p>
          <w:p>
            <w:pPr>
              <w:spacing w:line="360" w:lineRule="auto"/>
              <w:ind w:firstLine="480" w:firstLineChars="200"/>
              <w:rPr>
                <w:color w:val="auto"/>
                <w:sz w:val="24"/>
                <w:szCs w:val="24"/>
              </w:rPr>
            </w:pPr>
            <w:r>
              <w:rPr>
                <w:color w:val="auto"/>
                <w:sz w:val="24"/>
                <w:szCs w:val="24"/>
              </w:rPr>
              <w:t>石灰石—石膏湿法脱硫过程的主要化学反应为：在脱硫吸收塔内烟气中SO</w:t>
            </w:r>
            <w:r>
              <w:rPr>
                <w:color w:val="auto"/>
                <w:sz w:val="24"/>
                <w:szCs w:val="24"/>
                <w:vertAlign w:val="subscript"/>
              </w:rPr>
              <w:t>2</w:t>
            </w:r>
            <w:r>
              <w:rPr>
                <w:color w:val="auto"/>
                <w:sz w:val="24"/>
                <w:szCs w:val="24"/>
              </w:rPr>
              <w:t>首先被浆液中的水吸收与浆液中的CaC</w:t>
            </w:r>
            <w:r>
              <w:rPr>
                <w:rFonts w:hint="eastAsia"/>
                <w:color w:val="auto"/>
                <w:sz w:val="24"/>
                <w:szCs w:val="24"/>
              </w:rPr>
              <w:t>O</w:t>
            </w:r>
            <w:r>
              <w:rPr>
                <w:color w:val="auto"/>
                <w:sz w:val="24"/>
                <w:szCs w:val="24"/>
                <w:vertAlign w:val="subscript"/>
              </w:rPr>
              <w:t>3</w:t>
            </w:r>
            <w:r>
              <w:rPr>
                <w:color w:val="auto"/>
                <w:sz w:val="24"/>
                <w:szCs w:val="24"/>
              </w:rPr>
              <w:t>反应生成CaS</w:t>
            </w:r>
            <w:r>
              <w:rPr>
                <w:rFonts w:hint="eastAsia"/>
                <w:color w:val="auto"/>
                <w:sz w:val="24"/>
                <w:szCs w:val="24"/>
              </w:rPr>
              <w:t>O</w:t>
            </w:r>
            <w:r>
              <w:rPr>
                <w:color w:val="auto"/>
                <w:sz w:val="24"/>
                <w:szCs w:val="24"/>
                <w:vertAlign w:val="subscript"/>
              </w:rPr>
              <w:t>3</w:t>
            </w:r>
            <w:r>
              <w:rPr>
                <w:color w:val="auto"/>
                <w:sz w:val="24"/>
                <w:szCs w:val="24"/>
              </w:rPr>
              <w:t>，CaSO</w:t>
            </w:r>
            <w:r>
              <w:rPr>
                <w:color w:val="auto"/>
                <w:sz w:val="24"/>
                <w:szCs w:val="24"/>
                <w:vertAlign w:val="subscript"/>
              </w:rPr>
              <w:t>3</w:t>
            </w:r>
            <w:r>
              <w:rPr>
                <w:color w:val="auto"/>
                <w:sz w:val="24"/>
                <w:szCs w:val="24"/>
              </w:rPr>
              <w:t>被鼓入氧化空气中的</w:t>
            </w:r>
            <w:r>
              <w:rPr>
                <w:rFonts w:hint="eastAsia"/>
                <w:color w:val="auto"/>
                <w:sz w:val="24"/>
                <w:szCs w:val="24"/>
              </w:rPr>
              <w:t>O</w:t>
            </w:r>
            <w:r>
              <w:rPr>
                <w:color w:val="auto"/>
                <w:sz w:val="24"/>
                <w:szCs w:val="24"/>
                <w:vertAlign w:val="subscript"/>
              </w:rPr>
              <w:t>2</w:t>
            </w:r>
            <w:r>
              <w:rPr>
                <w:color w:val="auto"/>
                <w:sz w:val="24"/>
                <w:szCs w:val="24"/>
              </w:rPr>
              <w:t>氧化最终生成石膏晶体CaSO</w:t>
            </w:r>
            <w:r>
              <w:rPr>
                <w:color w:val="auto"/>
                <w:sz w:val="24"/>
                <w:szCs w:val="24"/>
                <w:vertAlign w:val="subscript"/>
              </w:rPr>
              <w:t>4</w:t>
            </w:r>
            <w:r>
              <w:rPr>
                <w:color w:val="auto"/>
                <w:sz w:val="24"/>
                <w:szCs w:val="24"/>
              </w:rPr>
              <w:t>·2H</w:t>
            </w:r>
            <w:r>
              <w:rPr>
                <w:color w:val="auto"/>
                <w:sz w:val="24"/>
                <w:szCs w:val="24"/>
                <w:vertAlign w:val="subscript"/>
              </w:rPr>
              <w:t>2</w:t>
            </w:r>
            <w:r>
              <w:rPr>
                <w:rFonts w:hint="eastAsia"/>
                <w:color w:val="auto"/>
                <w:sz w:val="24"/>
                <w:szCs w:val="24"/>
              </w:rPr>
              <w:t>O</w:t>
            </w:r>
            <w:r>
              <w:rPr>
                <w:color w:val="auto"/>
                <w:sz w:val="24"/>
                <w:szCs w:val="24"/>
              </w:rPr>
              <w:t>。</w:t>
            </w:r>
          </w:p>
          <w:p>
            <w:pPr>
              <w:spacing w:line="360" w:lineRule="auto"/>
              <w:ind w:firstLine="480" w:firstLineChars="200"/>
              <w:rPr>
                <w:color w:val="auto"/>
                <w:sz w:val="24"/>
                <w:szCs w:val="24"/>
              </w:rPr>
            </w:pPr>
            <w:r>
              <w:rPr>
                <w:color w:val="auto"/>
                <w:sz w:val="24"/>
                <w:szCs w:val="24"/>
              </w:rPr>
              <w:t>按脱硫副产物石膏的处置方式划分，一般有抛弃和回收利用两种方法，脱硫石膏处置方式的选择主要取决于市场对脱硫石膏的需求、脱硫石膏的质量以及是否有足够的堆放场地等因素。抛弃方式，如采用弃置灰场或回填矿坑，以美国为主要代表，抛弃量占86％；另一种是综合利用方式，德国及日本采用较多，主要用作水泥缓凝剂和建筑材料等，石膏的利用率达90％以上。九十年代初，重庆珞璜电厂首次引进了日本三菱公司石灰石—石膏湿法脱硫工艺，脱硫装置与两台360MW燃煤机组相配套。</w:t>
            </w:r>
          </w:p>
          <w:p>
            <w:pPr>
              <w:spacing w:line="360" w:lineRule="auto"/>
              <w:ind w:firstLine="480" w:firstLineChars="200"/>
              <w:rPr>
                <w:color w:val="auto"/>
                <w:sz w:val="24"/>
                <w:szCs w:val="24"/>
              </w:rPr>
            </w:pPr>
            <w:r>
              <w:rPr>
                <w:color w:val="auto"/>
                <w:sz w:val="24"/>
                <w:szCs w:val="24"/>
              </w:rPr>
              <w:t>石灰石(石灰)—石膏湿法脱硫是技术成熟、应用广泛、运行最可靠的工艺。但同进存在着初期投资、运行费用大，占地面积大，有废水排放，系统操作管理复杂、设备、管道易结垢、副产物石膏难处理的问题。</w:t>
            </w:r>
          </w:p>
          <w:p>
            <w:pPr>
              <w:spacing w:line="360" w:lineRule="auto"/>
              <w:ind w:firstLine="480" w:firstLineChars="200"/>
              <w:outlineLvl w:val="0"/>
              <w:rPr>
                <w:bCs/>
                <w:color w:val="auto"/>
                <w:sz w:val="24"/>
                <w:szCs w:val="24"/>
              </w:rPr>
            </w:pPr>
            <w:r>
              <w:rPr>
                <w:bCs/>
                <w:color w:val="auto"/>
                <w:sz w:val="24"/>
                <w:szCs w:val="24"/>
              </w:rPr>
              <w:fldChar w:fldCharType="begin"/>
            </w:r>
            <w:r>
              <w:rPr>
                <w:bCs/>
                <w:color w:val="auto"/>
                <w:sz w:val="24"/>
                <w:szCs w:val="24"/>
              </w:rPr>
              <w:instrText xml:space="preserve"> = 3 \* GB3 </w:instrText>
            </w:r>
            <w:r>
              <w:rPr>
                <w:bCs/>
                <w:color w:val="auto"/>
                <w:sz w:val="24"/>
                <w:szCs w:val="24"/>
              </w:rPr>
              <w:fldChar w:fldCharType="separate"/>
            </w:r>
            <w:r>
              <w:rPr>
                <w:rFonts w:hint="eastAsia" w:ascii="宋体" w:hAnsi="宋体" w:cs="宋体"/>
                <w:bCs/>
                <w:color w:val="auto"/>
                <w:sz w:val="24"/>
                <w:szCs w:val="24"/>
              </w:rPr>
              <w:t>③</w:t>
            </w:r>
            <w:r>
              <w:rPr>
                <w:bCs/>
                <w:color w:val="auto"/>
                <w:sz w:val="24"/>
                <w:szCs w:val="24"/>
              </w:rPr>
              <w:fldChar w:fldCharType="end"/>
            </w:r>
            <w:r>
              <w:rPr>
                <w:bCs/>
                <w:color w:val="auto"/>
                <w:sz w:val="24"/>
                <w:szCs w:val="24"/>
              </w:rPr>
              <w:t>氨法脱硫工艺</w:t>
            </w:r>
          </w:p>
          <w:p>
            <w:pPr>
              <w:pStyle w:val="13"/>
              <w:spacing w:line="360" w:lineRule="auto"/>
              <w:ind w:firstLine="460" w:firstLineChars="192"/>
              <w:rPr>
                <w:rFonts w:ascii="Times New Roman" w:hAnsi="Times New Roman" w:cs="Times New Roman"/>
                <w:color w:val="auto"/>
                <w:sz w:val="24"/>
                <w:szCs w:val="24"/>
              </w:rPr>
            </w:pPr>
            <w:r>
              <w:rPr>
                <w:rFonts w:ascii="Times New Roman" w:hAnsi="Times New Roman" w:cs="Times New Roman"/>
                <w:color w:val="auto"/>
                <w:sz w:val="24"/>
                <w:szCs w:val="24"/>
              </w:rPr>
              <w:t>湿式氨法工艺过程一般分成三大步骤：脱硫吸收、中间产品处理、副产品制造。根据过程和副产物的不同，湿式氨法又可分为氨-磷铵肥法、氨-酸法、氨-亚硫酸铵法等。湿式氨法是目前较成熟的、已工业化的氨法脱硫工艺，并且湿式氨法既脱硫又脱氮。</w:t>
            </w:r>
          </w:p>
          <w:p>
            <w:pPr>
              <w:spacing w:before="40" w:line="360" w:lineRule="auto"/>
              <w:ind w:firstLine="480" w:firstLineChars="200"/>
              <w:rPr>
                <w:rFonts w:hint="eastAsia"/>
                <w:color w:val="auto"/>
                <w:sz w:val="24"/>
                <w:szCs w:val="24"/>
              </w:rPr>
            </w:pPr>
            <w:r>
              <w:rPr>
                <w:rFonts w:hint="eastAsia"/>
                <w:color w:val="auto"/>
                <w:sz w:val="24"/>
                <w:szCs w:val="24"/>
              </w:rPr>
              <w:t>本项目采用的脱硫工艺</w:t>
            </w:r>
            <w:r>
              <w:rPr>
                <w:color w:val="auto"/>
                <w:sz w:val="24"/>
                <w:szCs w:val="24"/>
              </w:rPr>
              <w:t>为陕西驭腾实业有限公司拥有专利技术的氨法半干法烟气脱硫技术</w:t>
            </w:r>
            <w:r>
              <w:rPr>
                <w:rFonts w:hint="eastAsia"/>
                <w:color w:val="auto"/>
                <w:sz w:val="24"/>
                <w:szCs w:val="24"/>
              </w:rPr>
              <w:t>。</w:t>
            </w:r>
          </w:p>
          <w:p>
            <w:pPr>
              <w:spacing w:before="40" w:line="360" w:lineRule="auto"/>
              <w:ind w:firstLine="480" w:firstLineChars="200"/>
              <w:rPr>
                <w:color w:val="auto"/>
                <w:sz w:val="24"/>
                <w:szCs w:val="24"/>
              </w:rPr>
            </w:pPr>
            <w:r>
              <w:rPr>
                <w:color w:val="auto"/>
                <w:sz w:val="24"/>
                <w:szCs w:val="24"/>
              </w:rPr>
              <w:t>3</w:t>
            </w:r>
            <w:r>
              <w:rPr>
                <w:rFonts w:hint="eastAsia"/>
                <w:color w:val="auto"/>
                <w:sz w:val="24"/>
                <w:szCs w:val="24"/>
              </w:rPr>
              <w:t>、工艺参数</w:t>
            </w:r>
          </w:p>
          <w:p>
            <w:pPr>
              <w:spacing w:before="40" w:line="360" w:lineRule="auto"/>
              <w:ind w:firstLine="480" w:firstLineChars="200"/>
              <w:rPr>
                <w:color w:val="auto"/>
                <w:sz w:val="24"/>
                <w:szCs w:val="24"/>
              </w:rPr>
            </w:pPr>
            <w:r>
              <w:rPr>
                <w:rFonts w:hint="eastAsia"/>
                <w:color w:val="auto"/>
                <w:sz w:val="24"/>
                <w:szCs w:val="24"/>
              </w:rPr>
              <w:t>处理规模：每套580851Nm</w:t>
            </w:r>
            <w:r>
              <w:rPr>
                <w:rFonts w:hint="eastAsia"/>
                <w:color w:val="auto"/>
                <w:sz w:val="24"/>
                <w:szCs w:val="24"/>
                <w:vertAlign w:val="superscript"/>
              </w:rPr>
              <w:t>3</w:t>
            </w:r>
            <w:r>
              <w:rPr>
                <w:rFonts w:hint="eastAsia"/>
                <w:color w:val="auto"/>
                <w:sz w:val="24"/>
                <w:szCs w:val="24"/>
              </w:rPr>
              <w:t>/h</w:t>
            </w:r>
          </w:p>
          <w:p>
            <w:pPr>
              <w:spacing w:before="40" w:line="360" w:lineRule="auto"/>
              <w:ind w:firstLine="480" w:firstLineChars="200"/>
              <w:rPr>
                <w:color w:val="auto"/>
                <w:sz w:val="24"/>
                <w:szCs w:val="24"/>
              </w:rPr>
            </w:pPr>
            <w:r>
              <w:rPr>
                <w:rFonts w:hint="eastAsia"/>
                <w:color w:val="auto"/>
                <w:sz w:val="24"/>
                <w:szCs w:val="24"/>
              </w:rPr>
              <w:t>除尘效率：≥9</w:t>
            </w:r>
            <w:r>
              <w:rPr>
                <w:color w:val="auto"/>
                <w:sz w:val="24"/>
                <w:szCs w:val="24"/>
              </w:rPr>
              <w:t>9</w:t>
            </w:r>
            <w:r>
              <w:rPr>
                <w:rFonts w:hint="eastAsia"/>
                <w:color w:val="auto"/>
                <w:sz w:val="24"/>
                <w:szCs w:val="24"/>
              </w:rPr>
              <w:t>%</w:t>
            </w:r>
          </w:p>
          <w:p>
            <w:pPr>
              <w:spacing w:before="40" w:line="360" w:lineRule="auto"/>
              <w:ind w:firstLine="480" w:firstLineChars="200"/>
              <w:rPr>
                <w:color w:val="auto"/>
                <w:sz w:val="24"/>
                <w:szCs w:val="24"/>
              </w:rPr>
            </w:pPr>
            <w:r>
              <w:rPr>
                <w:rFonts w:hint="eastAsia"/>
                <w:color w:val="auto"/>
                <w:sz w:val="24"/>
                <w:szCs w:val="24"/>
              </w:rPr>
              <w:t>脱硫效率：设计脱硫效率≥95%，实际运行过程中根据在线监测数据控制氨水喷入量，脱硫效率约为80%即可实现达标排放。</w:t>
            </w:r>
          </w:p>
          <w:p>
            <w:pPr>
              <w:spacing w:before="40" w:line="360" w:lineRule="auto"/>
              <w:ind w:firstLine="480" w:firstLineChars="200"/>
              <w:rPr>
                <w:color w:val="auto"/>
                <w:sz w:val="24"/>
                <w:szCs w:val="24"/>
              </w:rPr>
            </w:pPr>
            <w:r>
              <w:rPr>
                <w:rFonts w:hint="eastAsia"/>
                <w:color w:val="auto"/>
                <w:sz w:val="24"/>
                <w:szCs w:val="24"/>
              </w:rPr>
              <w:t>4、脱硫除尘工艺可行性及达标排放保证措施</w:t>
            </w:r>
          </w:p>
          <w:p>
            <w:pPr>
              <w:spacing w:before="40"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1 \* GB2</w:instrText>
            </w:r>
            <w:r>
              <w:rPr>
                <w:color w:val="auto"/>
                <w:sz w:val="24"/>
                <w:szCs w:val="24"/>
              </w:rPr>
              <w:instrText xml:space="preserve"> </w:instrText>
            </w:r>
            <w:r>
              <w:rPr>
                <w:color w:val="auto"/>
                <w:sz w:val="24"/>
                <w:szCs w:val="24"/>
              </w:rPr>
              <w:fldChar w:fldCharType="separate"/>
            </w:r>
            <w:r>
              <w:rPr>
                <w:rFonts w:hint="eastAsia"/>
                <w:color w:val="auto"/>
                <w:sz w:val="24"/>
                <w:szCs w:val="24"/>
              </w:rPr>
              <w:t>⑴</w:t>
            </w:r>
            <w:r>
              <w:rPr>
                <w:color w:val="auto"/>
                <w:sz w:val="24"/>
                <w:szCs w:val="24"/>
              </w:rPr>
              <w:fldChar w:fldCharType="end"/>
            </w:r>
            <w:r>
              <w:rPr>
                <w:rFonts w:hint="eastAsia"/>
                <w:color w:val="auto"/>
                <w:sz w:val="24"/>
                <w:szCs w:val="24"/>
              </w:rPr>
              <w:t>脱硫除尘工艺可行性</w:t>
            </w:r>
          </w:p>
          <w:p>
            <w:pPr>
              <w:spacing w:line="360" w:lineRule="auto"/>
              <w:ind w:firstLine="480" w:firstLineChars="200"/>
              <w:rPr>
                <w:color w:val="auto"/>
                <w:sz w:val="24"/>
                <w:szCs w:val="24"/>
              </w:rPr>
            </w:pPr>
            <w:r>
              <w:rPr>
                <w:rFonts w:hint="eastAsia"/>
                <w:color w:val="auto"/>
                <w:sz w:val="24"/>
                <w:szCs w:val="24"/>
              </w:rPr>
              <w:t>本项目采用的脱硫工艺</w:t>
            </w:r>
            <w:r>
              <w:rPr>
                <w:color w:val="auto"/>
                <w:sz w:val="24"/>
                <w:szCs w:val="24"/>
              </w:rPr>
              <w:t>为陕西驭腾实业有限公司拥有专利技术的氨法半干法烟气脱硫技术。</w:t>
            </w:r>
            <w:r>
              <w:rPr>
                <w:rFonts w:hint="eastAsia"/>
                <w:color w:val="auto"/>
                <w:sz w:val="24"/>
                <w:szCs w:val="24"/>
              </w:rPr>
              <w:t>根据建设单位提供的资料，</w:t>
            </w:r>
            <w:r>
              <w:rPr>
                <w:color w:val="auto"/>
                <w:sz w:val="24"/>
                <w:szCs w:val="24"/>
              </w:rPr>
              <w:t>该技术的脱硫段采用的实际上是湿法氨法脱硫、干法收集脱硫产物，这样做的效果是脱硫效率高，而且，由于氨的活性高，对烟气中的多种有害物质均有很好的脱除效果。在脱硫反应完成后，由于控制了脱硫剂的喷入量，就可以利用烟气的余热对脱硫产物进行烘干的同时，还利用了烟气含氧量，对脱硫产物中的亚硫酸铵进行氧化，得到干燥的硫酸铵晶体颗粒，再通过收集器进行收集，在整个脱硫过程中不产生废水，也不产生任何工业废渣的脱硫工艺，脱硫产物是硫酸铵。</w:t>
            </w:r>
          </w:p>
          <w:p>
            <w:pPr>
              <w:spacing w:before="40" w:line="360" w:lineRule="auto"/>
              <w:ind w:firstLine="480" w:firstLineChars="200"/>
              <w:rPr>
                <w:color w:val="auto"/>
                <w:sz w:val="24"/>
                <w:szCs w:val="24"/>
              </w:rPr>
            </w:pPr>
            <w:r>
              <w:rPr>
                <w:rFonts w:hint="eastAsia"/>
                <w:color w:val="auto"/>
                <w:sz w:val="24"/>
                <w:szCs w:val="24"/>
              </w:rPr>
              <w:t>根据《陕西华富新能源有限公司燃气锅炉烟气脱硫除尘技术方案》（</w:t>
            </w:r>
            <w:r>
              <w:rPr>
                <w:color w:val="auto"/>
                <w:sz w:val="24"/>
                <w:szCs w:val="24"/>
              </w:rPr>
              <w:t>陕西驭腾实业有限公司</w:t>
            </w:r>
            <w:r>
              <w:rPr>
                <w:rFonts w:hint="eastAsia"/>
                <w:color w:val="auto"/>
                <w:sz w:val="24"/>
                <w:szCs w:val="24"/>
              </w:rPr>
              <w:t>，2</w:t>
            </w:r>
            <w:r>
              <w:rPr>
                <w:color w:val="auto"/>
                <w:sz w:val="24"/>
                <w:szCs w:val="24"/>
              </w:rPr>
              <w:t>017</w:t>
            </w:r>
            <w:r>
              <w:rPr>
                <w:rFonts w:hint="eastAsia"/>
                <w:color w:val="auto"/>
                <w:sz w:val="24"/>
                <w:szCs w:val="24"/>
              </w:rPr>
              <w:t>年7月），设计方在莱钢股份炼铁厂3</w:t>
            </w:r>
            <w:r>
              <w:rPr>
                <w:rFonts w:hint="eastAsia"/>
                <w:color w:val="auto"/>
                <w:sz w:val="24"/>
                <w:szCs w:val="24"/>
                <w:vertAlign w:val="superscript"/>
              </w:rPr>
              <w:t>#</w:t>
            </w:r>
            <w:r>
              <w:rPr>
                <w:rFonts w:hint="eastAsia"/>
                <w:color w:val="auto"/>
                <w:sz w:val="24"/>
                <w:szCs w:val="24"/>
              </w:rPr>
              <w:t>105m</w:t>
            </w:r>
            <w:r>
              <w:rPr>
                <w:rFonts w:hint="eastAsia"/>
                <w:color w:val="auto"/>
                <w:sz w:val="24"/>
                <w:szCs w:val="24"/>
                <w:vertAlign w:val="superscript"/>
              </w:rPr>
              <w:t>2</w:t>
            </w:r>
            <w:r>
              <w:rPr>
                <w:rFonts w:hint="eastAsia"/>
                <w:color w:val="auto"/>
                <w:sz w:val="24"/>
                <w:szCs w:val="24"/>
              </w:rPr>
              <w:t>烧结机实际7年多的运行中得到的结论是：在正常生产时，只要脱硫系统进口烟气温度≥90℃时，脱硫产物是完全干燥的，其含水率为</w:t>
            </w:r>
            <w:r>
              <w:rPr>
                <w:color w:val="auto"/>
                <w:sz w:val="24"/>
                <w:szCs w:val="24"/>
              </w:rPr>
              <w:t>3%~5%，</w:t>
            </w:r>
            <w:r>
              <w:rPr>
                <w:rFonts w:hint="eastAsia"/>
                <w:color w:val="auto"/>
                <w:sz w:val="24"/>
                <w:szCs w:val="24"/>
              </w:rPr>
              <w:t>不会产生“糊袋”的问题。</w:t>
            </w:r>
          </w:p>
          <w:p>
            <w:pPr>
              <w:spacing w:before="40" w:line="360" w:lineRule="auto"/>
              <w:ind w:firstLine="480" w:firstLineChars="200"/>
              <w:rPr>
                <w:color w:val="auto"/>
                <w:sz w:val="24"/>
                <w:szCs w:val="24"/>
              </w:rPr>
            </w:pPr>
            <w:r>
              <w:rPr>
                <w:rFonts w:hint="eastAsia"/>
                <w:color w:val="auto"/>
                <w:sz w:val="24"/>
                <w:szCs w:val="24"/>
              </w:rPr>
              <w:t>本项目已于2</w:t>
            </w:r>
            <w:r>
              <w:rPr>
                <w:color w:val="auto"/>
                <w:sz w:val="24"/>
                <w:szCs w:val="24"/>
              </w:rPr>
              <w:t>018</w:t>
            </w:r>
            <w:r>
              <w:rPr>
                <w:rFonts w:hint="eastAsia"/>
                <w:color w:val="auto"/>
                <w:sz w:val="24"/>
                <w:szCs w:val="24"/>
              </w:rPr>
              <w:t>年5月2</w:t>
            </w:r>
            <w:r>
              <w:rPr>
                <w:color w:val="auto"/>
                <w:sz w:val="24"/>
                <w:szCs w:val="24"/>
              </w:rPr>
              <w:t>6</w:t>
            </w:r>
            <w:r>
              <w:rPr>
                <w:rFonts w:hint="eastAsia"/>
                <w:color w:val="auto"/>
                <w:sz w:val="24"/>
                <w:szCs w:val="24"/>
              </w:rPr>
              <w:t>日正式投入运行，进入脱硫系统的烟气温度为1</w:t>
            </w:r>
            <w:r>
              <w:rPr>
                <w:color w:val="auto"/>
                <w:sz w:val="24"/>
                <w:szCs w:val="24"/>
              </w:rPr>
              <w:t>50</w:t>
            </w:r>
            <w:r>
              <w:rPr>
                <w:rFonts w:hint="eastAsia"/>
                <w:color w:val="auto"/>
                <w:sz w:val="24"/>
                <w:szCs w:val="24"/>
              </w:rPr>
              <w:t>~</w:t>
            </w:r>
            <w:r>
              <w:rPr>
                <w:color w:val="auto"/>
                <w:sz w:val="24"/>
                <w:szCs w:val="24"/>
              </w:rPr>
              <w:t>170</w:t>
            </w:r>
            <w:r>
              <w:rPr>
                <w:rFonts w:hint="eastAsia"/>
                <w:color w:val="auto"/>
                <w:sz w:val="24"/>
                <w:szCs w:val="24"/>
              </w:rPr>
              <w:t>℃，正常运行时无“糊袋”现象。脱硫副产物硫酸铵外售给下游企业作为制作原料使用。</w:t>
            </w:r>
          </w:p>
          <w:p>
            <w:pPr>
              <w:spacing w:before="40" w:line="360" w:lineRule="auto"/>
              <w:ind w:firstLine="480" w:firstLineChars="200"/>
              <w:rPr>
                <w:color w:val="auto"/>
                <w:sz w:val="24"/>
                <w:szCs w:val="24"/>
              </w:rPr>
            </w:pPr>
            <w:r>
              <w:rPr>
                <w:rFonts w:hint="eastAsia"/>
                <w:color w:val="auto"/>
                <w:sz w:val="24"/>
                <w:szCs w:val="24"/>
              </w:rPr>
              <w:t>根据建设单位提供的本项目脱硫除尘系统实际运行情况，项目脱硫除尘系统可正常稳定运行，脱硫除尘工艺可行。</w:t>
            </w:r>
          </w:p>
          <w:p>
            <w:pPr>
              <w:spacing w:before="40"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2 \* GB2</w:instrText>
            </w:r>
            <w:r>
              <w:rPr>
                <w:color w:val="auto"/>
                <w:sz w:val="24"/>
                <w:szCs w:val="24"/>
              </w:rPr>
              <w:instrText xml:space="preserve"> </w:instrText>
            </w:r>
            <w:r>
              <w:rPr>
                <w:color w:val="auto"/>
                <w:sz w:val="24"/>
                <w:szCs w:val="24"/>
              </w:rPr>
              <w:fldChar w:fldCharType="separate"/>
            </w:r>
            <w:r>
              <w:rPr>
                <w:rFonts w:hint="eastAsia"/>
                <w:color w:val="auto"/>
                <w:sz w:val="24"/>
                <w:szCs w:val="24"/>
              </w:rPr>
              <w:t>⑵</w:t>
            </w:r>
            <w:r>
              <w:rPr>
                <w:color w:val="auto"/>
                <w:sz w:val="24"/>
                <w:szCs w:val="24"/>
              </w:rPr>
              <w:fldChar w:fldCharType="end"/>
            </w:r>
            <w:r>
              <w:rPr>
                <w:rFonts w:hint="eastAsia"/>
                <w:color w:val="auto"/>
                <w:sz w:val="24"/>
                <w:szCs w:val="24"/>
              </w:rPr>
              <w:t>达标排放保证措施</w:t>
            </w:r>
          </w:p>
          <w:p>
            <w:pPr>
              <w:spacing w:before="40"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1 \* GB3</w:instrText>
            </w:r>
            <w:r>
              <w:rPr>
                <w:color w:val="auto"/>
                <w:sz w:val="24"/>
                <w:szCs w:val="24"/>
              </w:rPr>
              <w:instrText xml:space="preserve"> </w:instrText>
            </w:r>
            <w:r>
              <w:rPr>
                <w:color w:val="auto"/>
                <w:sz w:val="24"/>
                <w:szCs w:val="24"/>
              </w:rPr>
              <w:fldChar w:fldCharType="separate"/>
            </w:r>
            <w:r>
              <w:rPr>
                <w:rFonts w:hint="eastAsia"/>
                <w:color w:val="auto"/>
                <w:sz w:val="24"/>
                <w:szCs w:val="24"/>
              </w:rPr>
              <w:t>①</w:t>
            </w:r>
            <w:r>
              <w:rPr>
                <w:color w:val="auto"/>
                <w:sz w:val="24"/>
                <w:szCs w:val="24"/>
              </w:rPr>
              <w:fldChar w:fldCharType="end"/>
            </w:r>
            <w:r>
              <w:rPr>
                <w:color w:val="auto"/>
                <w:sz w:val="24"/>
                <w:szCs w:val="24"/>
              </w:rPr>
              <w:t>3</w:t>
            </w:r>
            <w:r>
              <w:rPr>
                <w:rFonts w:hint="eastAsia"/>
                <w:color w:val="auto"/>
                <w:sz w:val="24"/>
                <w:szCs w:val="24"/>
              </w:rPr>
              <w:t>根烟囱各安装烟气在线监测系统1套并与环保部门联网，实时连续监控污染物排放情况；</w:t>
            </w:r>
          </w:p>
          <w:p>
            <w:pPr>
              <w:spacing w:before="40"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2 \* GB3</w:instrText>
            </w:r>
            <w:r>
              <w:rPr>
                <w:color w:val="auto"/>
                <w:sz w:val="24"/>
                <w:szCs w:val="24"/>
              </w:rPr>
              <w:instrText xml:space="preserve"> </w:instrText>
            </w:r>
            <w:r>
              <w:rPr>
                <w:color w:val="auto"/>
                <w:sz w:val="24"/>
                <w:szCs w:val="24"/>
              </w:rPr>
              <w:fldChar w:fldCharType="separate"/>
            </w:r>
            <w:r>
              <w:rPr>
                <w:rFonts w:hint="eastAsia"/>
                <w:color w:val="auto"/>
                <w:sz w:val="24"/>
                <w:szCs w:val="24"/>
              </w:rPr>
              <w:t>②</w:t>
            </w:r>
            <w:r>
              <w:rPr>
                <w:color w:val="auto"/>
                <w:sz w:val="24"/>
                <w:szCs w:val="24"/>
              </w:rPr>
              <w:fldChar w:fldCharType="end"/>
            </w:r>
            <w:r>
              <w:rPr>
                <w:rFonts w:hint="eastAsia"/>
                <w:color w:val="auto"/>
                <w:sz w:val="24"/>
                <w:szCs w:val="24"/>
              </w:rPr>
              <w:t>烟气在线监测系统（C</w:t>
            </w:r>
            <w:r>
              <w:rPr>
                <w:color w:val="auto"/>
                <w:sz w:val="24"/>
                <w:szCs w:val="24"/>
              </w:rPr>
              <w:t>MES</w:t>
            </w:r>
            <w:r>
              <w:rPr>
                <w:rFonts w:hint="eastAsia"/>
                <w:color w:val="auto"/>
                <w:sz w:val="24"/>
                <w:szCs w:val="24"/>
              </w:rPr>
              <w:t>）监测数据接入D</w:t>
            </w:r>
            <w:r>
              <w:rPr>
                <w:color w:val="auto"/>
                <w:sz w:val="24"/>
                <w:szCs w:val="24"/>
              </w:rPr>
              <w:t>CS</w:t>
            </w:r>
            <w:r>
              <w:rPr>
                <w:rFonts w:hint="eastAsia"/>
                <w:color w:val="auto"/>
                <w:sz w:val="24"/>
                <w:szCs w:val="24"/>
              </w:rPr>
              <w:t>中控系统，利用烟气连续监测系统数据</w:t>
            </w:r>
            <w:r>
              <w:rPr>
                <w:color w:val="auto"/>
                <w:sz w:val="24"/>
                <w:szCs w:val="24"/>
              </w:rPr>
              <w:t>转换成</w:t>
            </w:r>
            <w:r>
              <w:rPr>
                <w:rFonts w:hint="eastAsia"/>
                <w:color w:val="auto"/>
                <w:sz w:val="24"/>
                <w:szCs w:val="24"/>
              </w:rPr>
              <w:t>的</w:t>
            </w:r>
            <w:r>
              <w:rPr>
                <w:color w:val="auto"/>
                <w:sz w:val="24"/>
                <w:szCs w:val="24"/>
              </w:rPr>
              <w:t>模拟数据反馈到DCS显示屏上</w:t>
            </w:r>
            <w:r>
              <w:rPr>
                <w:rFonts w:hint="eastAsia"/>
                <w:color w:val="auto"/>
                <w:sz w:val="24"/>
                <w:szCs w:val="24"/>
              </w:rPr>
              <w:t>，自动</w:t>
            </w:r>
            <w:r>
              <w:rPr>
                <w:color w:val="auto"/>
                <w:sz w:val="24"/>
                <w:szCs w:val="24"/>
              </w:rPr>
              <w:t>利用</w:t>
            </w:r>
            <w:r>
              <w:rPr>
                <w:rFonts w:hint="eastAsia"/>
                <w:color w:val="auto"/>
                <w:sz w:val="24"/>
                <w:szCs w:val="24"/>
              </w:rPr>
              <w:t>调节阀</w:t>
            </w:r>
            <w:r>
              <w:rPr>
                <w:color w:val="auto"/>
                <w:sz w:val="24"/>
                <w:szCs w:val="24"/>
              </w:rPr>
              <w:t>控制脱硫剂的投入量以</w:t>
            </w:r>
            <w:r>
              <w:rPr>
                <w:rFonts w:hint="eastAsia"/>
                <w:color w:val="auto"/>
                <w:sz w:val="24"/>
                <w:szCs w:val="24"/>
              </w:rPr>
              <w:t>控制脱硫系统运行参数和整体脱硫效果；</w:t>
            </w:r>
          </w:p>
          <w:p>
            <w:pPr>
              <w:spacing w:before="40"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3 \* GB3</w:instrText>
            </w:r>
            <w:r>
              <w:rPr>
                <w:color w:val="auto"/>
                <w:sz w:val="24"/>
                <w:szCs w:val="24"/>
              </w:rPr>
              <w:instrText xml:space="preserve"> </w:instrText>
            </w:r>
            <w:r>
              <w:rPr>
                <w:color w:val="auto"/>
                <w:sz w:val="24"/>
                <w:szCs w:val="24"/>
              </w:rPr>
              <w:fldChar w:fldCharType="separate"/>
            </w:r>
            <w:r>
              <w:rPr>
                <w:rFonts w:hint="eastAsia"/>
                <w:color w:val="auto"/>
                <w:sz w:val="24"/>
                <w:szCs w:val="24"/>
              </w:rPr>
              <w:t>③</w:t>
            </w:r>
            <w:r>
              <w:rPr>
                <w:color w:val="auto"/>
                <w:sz w:val="24"/>
                <w:szCs w:val="24"/>
              </w:rPr>
              <w:fldChar w:fldCharType="end"/>
            </w:r>
            <w:r>
              <w:rPr>
                <w:rFonts w:hint="eastAsia"/>
                <w:color w:val="auto"/>
                <w:sz w:val="24"/>
                <w:szCs w:val="24"/>
              </w:rPr>
              <w:t>在脱硫除尘系统启动时，首先将布袋除尘器灰斗蒸汽加热系统投入运行，当温度升到70℃即可停止加热，按操作规程将布袋除尘器投入正常运行，烟气温度≥100℃时启动喷氨泵，逐个投运氨枪，脱硫塔正常投运，以防止“糊袋”现象发生，保证脱硫除尘系统效率。</w:t>
            </w:r>
          </w:p>
          <w:p>
            <w:pPr>
              <w:spacing w:before="40" w:line="360" w:lineRule="auto"/>
              <w:ind w:firstLine="480" w:firstLineChars="200"/>
              <w:rPr>
                <w:color w:val="auto"/>
                <w:sz w:val="24"/>
                <w:szCs w:val="24"/>
              </w:rPr>
            </w:pPr>
            <w:r>
              <w:rPr>
                <w:color w:val="auto"/>
                <w:sz w:val="24"/>
                <w:szCs w:val="24"/>
              </w:rPr>
              <w:t>4</w:t>
            </w:r>
            <w:r>
              <w:rPr>
                <w:rFonts w:hint="eastAsia"/>
                <w:color w:val="auto"/>
                <w:sz w:val="24"/>
                <w:szCs w:val="24"/>
              </w:rPr>
              <w:t>、相关平衡分析</w:t>
            </w:r>
          </w:p>
          <w:p>
            <w:pPr>
              <w:spacing w:before="40"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1 \* GB2</w:instrText>
            </w:r>
            <w:r>
              <w:rPr>
                <w:color w:val="auto"/>
                <w:sz w:val="24"/>
                <w:szCs w:val="24"/>
              </w:rPr>
              <w:instrText xml:space="preserve"> </w:instrText>
            </w:r>
            <w:r>
              <w:rPr>
                <w:color w:val="auto"/>
                <w:sz w:val="24"/>
                <w:szCs w:val="24"/>
              </w:rPr>
              <w:fldChar w:fldCharType="separate"/>
            </w:r>
            <w:r>
              <w:rPr>
                <w:rFonts w:hint="eastAsia"/>
                <w:color w:val="auto"/>
                <w:sz w:val="24"/>
                <w:szCs w:val="24"/>
              </w:rPr>
              <w:t>⑴</w:t>
            </w:r>
            <w:r>
              <w:rPr>
                <w:color w:val="auto"/>
                <w:sz w:val="24"/>
                <w:szCs w:val="24"/>
              </w:rPr>
              <w:fldChar w:fldCharType="end"/>
            </w:r>
            <w:r>
              <w:rPr>
                <w:rFonts w:hint="eastAsia"/>
                <w:color w:val="auto"/>
                <w:sz w:val="24"/>
                <w:szCs w:val="24"/>
              </w:rPr>
              <w:t>硫平衡分析</w:t>
            </w:r>
          </w:p>
          <w:p>
            <w:pPr>
              <w:spacing w:before="40" w:line="360" w:lineRule="auto"/>
              <w:ind w:firstLine="480" w:firstLineChars="200"/>
              <w:rPr>
                <w:color w:val="auto"/>
                <w:sz w:val="24"/>
                <w:szCs w:val="24"/>
              </w:rPr>
            </w:pPr>
            <w:r>
              <w:rPr>
                <w:rFonts w:hint="eastAsia"/>
                <w:color w:val="auto"/>
                <w:sz w:val="24"/>
                <w:szCs w:val="24"/>
              </w:rPr>
              <w:t>本项目硫平衡表见表</w:t>
            </w:r>
            <w:r>
              <w:rPr>
                <w:color w:val="auto"/>
                <w:sz w:val="24"/>
                <w:szCs w:val="24"/>
              </w:rPr>
              <w:t>15</w:t>
            </w:r>
            <w:r>
              <w:rPr>
                <w:rFonts w:hint="eastAsia"/>
                <w:color w:val="auto"/>
                <w:sz w:val="24"/>
                <w:szCs w:val="24"/>
              </w:rPr>
              <w:t>，硫平衡图见图</w:t>
            </w:r>
            <w:r>
              <w:rPr>
                <w:color w:val="auto"/>
                <w:sz w:val="24"/>
                <w:szCs w:val="24"/>
              </w:rPr>
              <w:t>4</w:t>
            </w:r>
            <w:r>
              <w:rPr>
                <w:rFonts w:hint="eastAsia"/>
                <w:color w:val="auto"/>
                <w:sz w:val="24"/>
                <w:szCs w:val="24"/>
              </w:rPr>
              <w:t>。</w:t>
            </w:r>
          </w:p>
          <w:p>
            <w:pPr>
              <w:spacing w:before="40" w:line="360" w:lineRule="auto"/>
              <w:jc w:val="center"/>
              <w:rPr>
                <w:b/>
                <w:color w:val="auto"/>
                <w:sz w:val="24"/>
                <w:szCs w:val="24"/>
              </w:rPr>
            </w:pPr>
            <w:r>
              <w:rPr>
                <w:rFonts w:hint="eastAsia"/>
                <w:b/>
                <w:color w:val="auto"/>
                <w:sz w:val="24"/>
                <w:szCs w:val="24"/>
              </w:rPr>
              <w:t>表</w:t>
            </w:r>
            <w:r>
              <w:rPr>
                <w:b/>
                <w:color w:val="auto"/>
                <w:sz w:val="24"/>
                <w:szCs w:val="24"/>
              </w:rPr>
              <w:t xml:space="preserve">15  </w:t>
            </w:r>
            <w:r>
              <w:rPr>
                <w:rFonts w:hint="eastAsia"/>
                <w:b/>
                <w:color w:val="auto"/>
                <w:sz w:val="24"/>
                <w:szCs w:val="24"/>
              </w:rPr>
              <w:t xml:space="preserve">项目硫平衡一览表 </w:t>
            </w:r>
            <w:r>
              <w:rPr>
                <w:b/>
                <w:color w:val="auto"/>
                <w:sz w:val="24"/>
                <w:szCs w:val="24"/>
              </w:rPr>
              <w:t xml:space="preserve">   </w:t>
            </w:r>
            <w:r>
              <w:rPr>
                <w:rFonts w:hint="eastAsia"/>
                <w:b/>
                <w:color w:val="auto"/>
                <w:sz w:val="24"/>
                <w:szCs w:val="24"/>
              </w:rPr>
              <w:t>t</w:t>
            </w:r>
            <w:r>
              <w:rPr>
                <w:b/>
                <w:color w:val="auto"/>
                <w:sz w:val="24"/>
                <w:szCs w:val="24"/>
              </w:rPr>
              <w:t>/</w:t>
            </w:r>
            <w:r>
              <w:rPr>
                <w:rFonts w:hint="eastAsia"/>
                <w:b/>
                <w:color w:val="auto"/>
                <w:sz w:val="24"/>
                <w:szCs w:val="24"/>
              </w:rPr>
              <w:t>a</w:t>
            </w:r>
          </w:p>
          <w:tbl>
            <w:tblPr>
              <w:tblStyle w:val="27"/>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531"/>
              <w:gridCol w:w="1531"/>
              <w:gridCol w:w="1489"/>
              <w:gridCol w:w="1490"/>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92" w:type="dxa"/>
                  <w:gridSpan w:val="3"/>
                  <w:vAlign w:val="center"/>
                </w:tcPr>
                <w:p>
                  <w:pPr>
                    <w:spacing w:before="40"/>
                    <w:jc w:val="center"/>
                    <w:rPr>
                      <w:color w:val="auto"/>
                    </w:rPr>
                  </w:pPr>
                  <w:r>
                    <w:rPr>
                      <w:rFonts w:hint="eastAsia"/>
                      <w:color w:val="auto"/>
                    </w:rPr>
                    <w:t>输入</w:t>
                  </w:r>
                </w:p>
              </w:tc>
              <w:tc>
                <w:tcPr>
                  <w:tcW w:w="4469" w:type="dxa"/>
                  <w:gridSpan w:val="3"/>
                  <w:vAlign w:val="center"/>
                </w:tcPr>
                <w:p>
                  <w:pPr>
                    <w:spacing w:before="40"/>
                    <w:jc w:val="center"/>
                    <w:rPr>
                      <w:color w:val="auto"/>
                    </w:rPr>
                  </w:pPr>
                  <w:r>
                    <w:rPr>
                      <w:rFonts w:hint="eastAsia"/>
                      <w:color w:val="auto"/>
                    </w:rP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0" w:type="dxa"/>
                  <w:vAlign w:val="center"/>
                </w:tcPr>
                <w:p>
                  <w:pPr>
                    <w:spacing w:before="40"/>
                    <w:jc w:val="center"/>
                    <w:rPr>
                      <w:color w:val="auto"/>
                    </w:rPr>
                  </w:pPr>
                  <w:r>
                    <w:rPr>
                      <w:rFonts w:hint="eastAsia"/>
                      <w:color w:val="auto"/>
                    </w:rPr>
                    <w:t>序号</w:t>
                  </w:r>
                </w:p>
              </w:tc>
              <w:tc>
                <w:tcPr>
                  <w:tcW w:w="1531" w:type="dxa"/>
                  <w:vAlign w:val="center"/>
                </w:tcPr>
                <w:p>
                  <w:pPr>
                    <w:spacing w:before="40"/>
                    <w:jc w:val="center"/>
                    <w:rPr>
                      <w:color w:val="auto"/>
                    </w:rPr>
                  </w:pPr>
                  <w:r>
                    <w:rPr>
                      <w:rFonts w:hint="eastAsia"/>
                      <w:color w:val="auto"/>
                    </w:rPr>
                    <w:t>物料名称</w:t>
                  </w:r>
                </w:p>
              </w:tc>
              <w:tc>
                <w:tcPr>
                  <w:tcW w:w="1531" w:type="dxa"/>
                  <w:vAlign w:val="center"/>
                </w:tcPr>
                <w:p>
                  <w:pPr>
                    <w:spacing w:before="40"/>
                    <w:jc w:val="center"/>
                    <w:rPr>
                      <w:color w:val="auto"/>
                    </w:rPr>
                  </w:pPr>
                  <w:r>
                    <w:rPr>
                      <w:rFonts w:hint="eastAsia"/>
                      <w:color w:val="auto"/>
                    </w:rPr>
                    <w:t>数量</w:t>
                  </w:r>
                </w:p>
              </w:tc>
              <w:tc>
                <w:tcPr>
                  <w:tcW w:w="1489" w:type="dxa"/>
                  <w:vAlign w:val="center"/>
                </w:tcPr>
                <w:p>
                  <w:pPr>
                    <w:spacing w:before="40"/>
                    <w:jc w:val="center"/>
                    <w:rPr>
                      <w:color w:val="auto"/>
                    </w:rPr>
                  </w:pPr>
                  <w:r>
                    <w:rPr>
                      <w:rFonts w:hint="eastAsia"/>
                      <w:color w:val="auto"/>
                    </w:rPr>
                    <w:t>序号</w:t>
                  </w:r>
                </w:p>
              </w:tc>
              <w:tc>
                <w:tcPr>
                  <w:tcW w:w="1490" w:type="dxa"/>
                  <w:vAlign w:val="center"/>
                </w:tcPr>
                <w:p>
                  <w:pPr>
                    <w:spacing w:before="40"/>
                    <w:jc w:val="center"/>
                    <w:rPr>
                      <w:color w:val="auto"/>
                    </w:rPr>
                  </w:pPr>
                  <w:r>
                    <w:rPr>
                      <w:rFonts w:hint="eastAsia"/>
                      <w:color w:val="auto"/>
                    </w:rPr>
                    <w:t>物料名称</w:t>
                  </w:r>
                </w:p>
              </w:tc>
              <w:tc>
                <w:tcPr>
                  <w:tcW w:w="1490" w:type="dxa"/>
                  <w:vAlign w:val="center"/>
                </w:tcPr>
                <w:p>
                  <w:pPr>
                    <w:spacing w:before="40"/>
                    <w:jc w:val="center"/>
                    <w:rPr>
                      <w:color w:val="auto"/>
                    </w:rPr>
                  </w:pPr>
                  <w:r>
                    <w:rPr>
                      <w:rFonts w:hint="eastAsia"/>
                      <w:color w:val="auto"/>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0" w:type="dxa"/>
                  <w:vAlign w:val="center"/>
                </w:tcPr>
                <w:p>
                  <w:pPr>
                    <w:spacing w:before="40"/>
                    <w:jc w:val="center"/>
                    <w:rPr>
                      <w:color w:val="auto"/>
                    </w:rPr>
                  </w:pPr>
                  <w:r>
                    <w:rPr>
                      <w:rFonts w:hint="eastAsia"/>
                      <w:color w:val="auto"/>
                    </w:rPr>
                    <w:t>1</w:t>
                  </w:r>
                  <w:r>
                    <w:rPr>
                      <w:color w:val="auto"/>
                    </w:rPr>
                    <w:t>.1</w:t>
                  </w:r>
                </w:p>
              </w:tc>
              <w:tc>
                <w:tcPr>
                  <w:tcW w:w="1531" w:type="dxa"/>
                  <w:vAlign w:val="center"/>
                </w:tcPr>
                <w:p>
                  <w:pPr>
                    <w:spacing w:before="40"/>
                    <w:jc w:val="center"/>
                    <w:rPr>
                      <w:color w:val="auto"/>
                    </w:rPr>
                  </w:pPr>
                  <w:r>
                    <w:rPr>
                      <w:rFonts w:hint="eastAsia"/>
                      <w:color w:val="auto"/>
                    </w:rPr>
                    <w:t>高炉煤气含硫</w:t>
                  </w:r>
                </w:p>
              </w:tc>
              <w:tc>
                <w:tcPr>
                  <w:tcW w:w="1531" w:type="dxa"/>
                  <w:vAlign w:val="center"/>
                </w:tcPr>
                <w:p>
                  <w:pPr>
                    <w:spacing w:before="40"/>
                    <w:jc w:val="center"/>
                    <w:rPr>
                      <w:color w:val="auto"/>
                    </w:rPr>
                  </w:pPr>
                  <w:r>
                    <w:rPr>
                      <w:rFonts w:hint="eastAsia"/>
                      <w:color w:val="auto"/>
                    </w:rPr>
                    <w:t>422.34</w:t>
                  </w:r>
                </w:p>
              </w:tc>
              <w:tc>
                <w:tcPr>
                  <w:tcW w:w="1489" w:type="dxa"/>
                  <w:vAlign w:val="center"/>
                </w:tcPr>
                <w:p>
                  <w:pPr>
                    <w:spacing w:before="40"/>
                    <w:jc w:val="center"/>
                    <w:rPr>
                      <w:color w:val="auto"/>
                    </w:rPr>
                  </w:pPr>
                  <w:r>
                    <w:rPr>
                      <w:color w:val="auto"/>
                    </w:rPr>
                    <w:t>2.1</w:t>
                  </w:r>
                </w:p>
              </w:tc>
              <w:tc>
                <w:tcPr>
                  <w:tcW w:w="1490" w:type="dxa"/>
                  <w:vAlign w:val="center"/>
                </w:tcPr>
                <w:p>
                  <w:pPr>
                    <w:spacing w:before="40"/>
                    <w:jc w:val="center"/>
                    <w:rPr>
                      <w:color w:val="auto"/>
                    </w:rPr>
                  </w:pPr>
                  <w:r>
                    <w:rPr>
                      <w:rFonts w:hint="eastAsia"/>
                      <w:color w:val="auto"/>
                    </w:rPr>
                    <w:t>外排烟气含硫</w:t>
                  </w:r>
                </w:p>
              </w:tc>
              <w:tc>
                <w:tcPr>
                  <w:tcW w:w="1490" w:type="dxa"/>
                  <w:vAlign w:val="center"/>
                </w:tcPr>
                <w:p>
                  <w:pPr>
                    <w:spacing w:before="40"/>
                    <w:jc w:val="center"/>
                    <w:rPr>
                      <w:color w:val="auto"/>
                    </w:rPr>
                  </w:pPr>
                  <w:r>
                    <w:rPr>
                      <w:rFonts w:hint="eastAsia"/>
                      <w:color w:val="auto"/>
                    </w:rPr>
                    <w:t>8</w:t>
                  </w:r>
                  <w:r>
                    <w:rPr>
                      <w:color w:val="auto"/>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0" w:type="dxa"/>
                  <w:vAlign w:val="center"/>
                </w:tcPr>
                <w:p>
                  <w:pPr>
                    <w:spacing w:before="40"/>
                    <w:jc w:val="center"/>
                    <w:rPr>
                      <w:color w:val="auto"/>
                    </w:rPr>
                  </w:pPr>
                </w:p>
              </w:tc>
              <w:tc>
                <w:tcPr>
                  <w:tcW w:w="1531" w:type="dxa"/>
                  <w:vAlign w:val="center"/>
                </w:tcPr>
                <w:p>
                  <w:pPr>
                    <w:spacing w:before="40"/>
                    <w:jc w:val="center"/>
                    <w:rPr>
                      <w:color w:val="auto"/>
                    </w:rPr>
                  </w:pPr>
                </w:p>
              </w:tc>
              <w:tc>
                <w:tcPr>
                  <w:tcW w:w="1531" w:type="dxa"/>
                  <w:vAlign w:val="center"/>
                </w:tcPr>
                <w:p>
                  <w:pPr>
                    <w:spacing w:before="40"/>
                    <w:jc w:val="center"/>
                    <w:rPr>
                      <w:color w:val="auto"/>
                    </w:rPr>
                  </w:pPr>
                </w:p>
              </w:tc>
              <w:tc>
                <w:tcPr>
                  <w:tcW w:w="1489" w:type="dxa"/>
                  <w:vAlign w:val="center"/>
                </w:tcPr>
                <w:p>
                  <w:pPr>
                    <w:spacing w:before="40"/>
                    <w:jc w:val="center"/>
                    <w:rPr>
                      <w:color w:val="auto"/>
                    </w:rPr>
                  </w:pPr>
                  <w:r>
                    <w:rPr>
                      <w:rFonts w:hint="eastAsia"/>
                      <w:color w:val="auto"/>
                    </w:rPr>
                    <w:t>2</w:t>
                  </w:r>
                  <w:r>
                    <w:rPr>
                      <w:color w:val="auto"/>
                    </w:rPr>
                    <w:t>.2</w:t>
                  </w:r>
                </w:p>
              </w:tc>
              <w:tc>
                <w:tcPr>
                  <w:tcW w:w="1490" w:type="dxa"/>
                  <w:vAlign w:val="center"/>
                </w:tcPr>
                <w:p>
                  <w:pPr>
                    <w:spacing w:before="40"/>
                    <w:jc w:val="center"/>
                    <w:rPr>
                      <w:color w:val="auto"/>
                    </w:rPr>
                  </w:pPr>
                  <w:r>
                    <w:rPr>
                      <w:rFonts w:hint="eastAsia"/>
                      <w:color w:val="auto"/>
                    </w:rPr>
                    <w:t>硫酸铵含硫</w:t>
                  </w:r>
                </w:p>
              </w:tc>
              <w:tc>
                <w:tcPr>
                  <w:tcW w:w="1490" w:type="dxa"/>
                  <w:vAlign w:val="center"/>
                </w:tcPr>
                <w:p>
                  <w:pPr>
                    <w:spacing w:before="40"/>
                    <w:jc w:val="center"/>
                    <w:rPr>
                      <w:color w:val="auto"/>
                    </w:rPr>
                  </w:pPr>
                  <w:r>
                    <w:rPr>
                      <w:rFonts w:hint="eastAsia"/>
                      <w:color w:val="auto"/>
                    </w:rPr>
                    <w:t>337.87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61" w:type="dxa"/>
                  <w:gridSpan w:val="2"/>
                  <w:vAlign w:val="center"/>
                </w:tcPr>
                <w:p>
                  <w:pPr>
                    <w:spacing w:before="40"/>
                    <w:jc w:val="center"/>
                    <w:rPr>
                      <w:color w:val="auto"/>
                    </w:rPr>
                  </w:pPr>
                  <w:r>
                    <w:rPr>
                      <w:rFonts w:hint="eastAsia"/>
                      <w:color w:val="auto"/>
                    </w:rPr>
                    <w:t>合计</w:t>
                  </w:r>
                </w:p>
              </w:tc>
              <w:tc>
                <w:tcPr>
                  <w:tcW w:w="1531" w:type="dxa"/>
                  <w:vAlign w:val="center"/>
                </w:tcPr>
                <w:p>
                  <w:pPr>
                    <w:spacing w:before="40"/>
                    <w:jc w:val="center"/>
                    <w:rPr>
                      <w:color w:val="auto"/>
                    </w:rPr>
                  </w:pPr>
                  <w:r>
                    <w:rPr>
                      <w:rFonts w:hint="eastAsia"/>
                      <w:color w:val="auto"/>
                    </w:rPr>
                    <w:t>422.34</w:t>
                  </w:r>
                </w:p>
              </w:tc>
              <w:tc>
                <w:tcPr>
                  <w:tcW w:w="2979" w:type="dxa"/>
                  <w:gridSpan w:val="2"/>
                  <w:vAlign w:val="center"/>
                </w:tcPr>
                <w:p>
                  <w:pPr>
                    <w:spacing w:before="40"/>
                    <w:jc w:val="center"/>
                    <w:rPr>
                      <w:color w:val="auto"/>
                    </w:rPr>
                  </w:pPr>
                  <w:r>
                    <w:rPr>
                      <w:rFonts w:hint="eastAsia"/>
                      <w:color w:val="auto"/>
                    </w:rPr>
                    <w:t>合计</w:t>
                  </w:r>
                </w:p>
              </w:tc>
              <w:tc>
                <w:tcPr>
                  <w:tcW w:w="1490" w:type="dxa"/>
                  <w:vAlign w:val="center"/>
                </w:tcPr>
                <w:p>
                  <w:pPr>
                    <w:spacing w:before="40"/>
                    <w:jc w:val="center"/>
                    <w:rPr>
                      <w:color w:val="auto"/>
                    </w:rPr>
                  </w:pPr>
                  <w:r>
                    <w:rPr>
                      <w:rFonts w:hint="eastAsia"/>
                      <w:color w:val="auto"/>
                    </w:rPr>
                    <w:t>422.34</w:t>
                  </w:r>
                </w:p>
              </w:tc>
            </w:tr>
          </w:tbl>
          <w:p>
            <w:pPr>
              <w:spacing w:before="40"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2 \* GB2</w:instrText>
            </w:r>
            <w:r>
              <w:rPr>
                <w:color w:val="auto"/>
                <w:sz w:val="24"/>
                <w:szCs w:val="24"/>
              </w:rPr>
              <w:instrText xml:space="preserve"> </w:instrText>
            </w:r>
            <w:r>
              <w:rPr>
                <w:color w:val="auto"/>
                <w:sz w:val="24"/>
                <w:szCs w:val="24"/>
              </w:rPr>
              <w:fldChar w:fldCharType="separate"/>
            </w:r>
            <w:r>
              <w:rPr>
                <w:rFonts w:hint="eastAsia"/>
                <w:color w:val="auto"/>
                <w:sz w:val="24"/>
                <w:szCs w:val="24"/>
              </w:rPr>
              <w:t>⑵</w:t>
            </w:r>
            <w:r>
              <w:rPr>
                <w:color w:val="auto"/>
                <w:sz w:val="24"/>
                <w:szCs w:val="24"/>
              </w:rPr>
              <w:fldChar w:fldCharType="end"/>
            </w:r>
            <w:r>
              <w:rPr>
                <w:rFonts w:hint="eastAsia"/>
                <w:color w:val="auto"/>
                <w:sz w:val="24"/>
                <w:szCs w:val="24"/>
              </w:rPr>
              <w:t>氨平衡分析</w:t>
            </w:r>
          </w:p>
          <w:p>
            <w:pPr>
              <w:spacing w:before="40" w:line="360" w:lineRule="auto"/>
              <w:ind w:firstLine="480" w:firstLineChars="200"/>
              <w:rPr>
                <w:color w:val="auto"/>
                <w:sz w:val="24"/>
                <w:szCs w:val="24"/>
              </w:rPr>
            </w:pPr>
            <w:r>
              <w:rPr>
                <w:rFonts w:hint="eastAsia"/>
                <w:color w:val="auto"/>
                <w:sz w:val="24"/>
                <w:szCs w:val="24"/>
              </w:rPr>
              <w:t>本项目氨平衡表见表</w:t>
            </w:r>
            <w:r>
              <w:rPr>
                <w:color w:val="auto"/>
                <w:sz w:val="24"/>
                <w:szCs w:val="24"/>
              </w:rPr>
              <w:t>16</w:t>
            </w:r>
            <w:r>
              <w:rPr>
                <w:rFonts w:hint="eastAsia"/>
                <w:color w:val="auto"/>
                <w:sz w:val="24"/>
                <w:szCs w:val="24"/>
              </w:rPr>
              <w:t>，氨平衡图见图</w:t>
            </w:r>
            <w:r>
              <w:rPr>
                <w:color w:val="auto"/>
                <w:sz w:val="24"/>
                <w:szCs w:val="24"/>
              </w:rPr>
              <w:t>5</w:t>
            </w:r>
            <w:r>
              <w:rPr>
                <w:rFonts w:hint="eastAsia"/>
                <w:color w:val="auto"/>
                <w:sz w:val="24"/>
                <w:szCs w:val="24"/>
              </w:rPr>
              <w:t>。</w:t>
            </w:r>
          </w:p>
          <w:p>
            <w:pPr>
              <w:spacing w:before="40" w:line="360" w:lineRule="auto"/>
              <w:ind w:firstLine="482"/>
              <w:jc w:val="center"/>
              <w:rPr>
                <w:rFonts w:hint="eastAsia"/>
                <w:b/>
                <w:color w:val="auto"/>
                <w:sz w:val="24"/>
                <w:szCs w:val="24"/>
              </w:rPr>
            </w:pPr>
          </w:p>
          <w:p>
            <w:pPr>
              <w:spacing w:before="40" w:line="360" w:lineRule="auto"/>
              <w:ind w:firstLine="482"/>
              <w:jc w:val="center"/>
              <w:rPr>
                <w:b/>
                <w:color w:val="auto"/>
                <w:sz w:val="24"/>
                <w:szCs w:val="24"/>
              </w:rPr>
            </w:pPr>
          </w:p>
          <w:p>
            <w:pPr>
              <w:spacing w:before="40" w:line="360" w:lineRule="auto"/>
              <w:ind w:firstLine="482"/>
              <w:jc w:val="center"/>
              <w:rPr>
                <w:b/>
                <w:color w:val="auto"/>
                <w:sz w:val="24"/>
                <w:szCs w:val="24"/>
              </w:rPr>
            </w:pPr>
          </w:p>
          <w:p>
            <w:pPr>
              <w:spacing w:before="40" w:line="360" w:lineRule="auto"/>
              <w:ind w:firstLine="482"/>
              <w:jc w:val="center"/>
              <w:rPr>
                <w:b/>
                <w:color w:val="auto"/>
                <w:sz w:val="24"/>
                <w:szCs w:val="24"/>
              </w:rPr>
            </w:pPr>
            <w:r>
              <w:rPr>
                <w:rFonts w:hint="eastAsia"/>
                <w:b/>
                <w:color w:val="auto"/>
                <w:sz w:val="24"/>
                <w:szCs w:val="24"/>
              </w:rPr>
              <w:t>表</w:t>
            </w:r>
            <w:r>
              <w:rPr>
                <w:b/>
                <w:color w:val="auto"/>
                <w:sz w:val="24"/>
                <w:szCs w:val="24"/>
              </w:rPr>
              <w:t xml:space="preserve">16  </w:t>
            </w:r>
            <w:r>
              <w:rPr>
                <w:rFonts w:hint="eastAsia"/>
                <w:b/>
                <w:color w:val="auto"/>
                <w:sz w:val="24"/>
                <w:szCs w:val="24"/>
              </w:rPr>
              <w:t xml:space="preserve">项目氨平衡一览表 </w:t>
            </w:r>
            <w:r>
              <w:rPr>
                <w:b/>
                <w:color w:val="auto"/>
                <w:sz w:val="24"/>
                <w:szCs w:val="24"/>
              </w:rPr>
              <w:t xml:space="preserve">   </w:t>
            </w:r>
            <w:r>
              <w:rPr>
                <w:rFonts w:hint="eastAsia"/>
                <w:b/>
                <w:color w:val="auto"/>
                <w:sz w:val="24"/>
                <w:szCs w:val="24"/>
              </w:rPr>
              <w:t>t</w:t>
            </w:r>
            <w:r>
              <w:rPr>
                <w:b/>
                <w:color w:val="auto"/>
                <w:sz w:val="24"/>
                <w:szCs w:val="24"/>
              </w:rPr>
              <w:t>/</w:t>
            </w:r>
            <w:r>
              <w:rPr>
                <w:rFonts w:hint="eastAsia"/>
                <w:b/>
                <w:color w:val="auto"/>
                <w:sz w:val="24"/>
                <w:szCs w:val="24"/>
              </w:rPr>
              <w:t>a</w:t>
            </w:r>
          </w:p>
          <w:tbl>
            <w:tblPr>
              <w:tblStyle w:val="27"/>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531"/>
              <w:gridCol w:w="1531"/>
              <w:gridCol w:w="1489"/>
              <w:gridCol w:w="1490"/>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92" w:type="dxa"/>
                  <w:gridSpan w:val="3"/>
                  <w:vAlign w:val="center"/>
                </w:tcPr>
                <w:p>
                  <w:pPr>
                    <w:jc w:val="center"/>
                    <w:rPr>
                      <w:color w:val="auto"/>
                    </w:rPr>
                  </w:pPr>
                  <w:r>
                    <w:rPr>
                      <w:rFonts w:hint="eastAsia"/>
                      <w:color w:val="auto"/>
                    </w:rPr>
                    <w:t>输入</w:t>
                  </w:r>
                </w:p>
              </w:tc>
              <w:tc>
                <w:tcPr>
                  <w:tcW w:w="4469" w:type="dxa"/>
                  <w:gridSpan w:val="3"/>
                  <w:vAlign w:val="center"/>
                </w:tcPr>
                <w:p>
                  <w:pPr>
                    <w:jc w:val="center"/>
                    <w:rPr>
                      <w:color w:val="auto"/>
                    </w:rPr>
                  </w:pPr>
                  <w:r>
                    <w:rPr>
                      <w:rFonts w:hint="eastAsia"/>
                      <w:color w:val="auto"/>
                    </w:rP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0" w:type="dxa"/>
                  <w:vAlign w:val="center"/>
                </w:tcPr>
                <w:p>
                  <w:pPr>
                    <w:jc w:val="center"/>
                    <w:rPr>
                      <w:color w:val="auto"/>
                    </w:rPr>
                  </w:pPr>
                  <w:r>
                    <w:rPr>
                      <w:rFonts w:hint="eastAsia"/>
                      <w:color w:val="auto"/>
                    </w:rPr>
                    <w:t>序号</w:t>
                  </w:r>
                </w:p>
              </w:tc>
              <w:tc>
                <w:tcPr>
                  <w:tcW w:w="1531" w:type="dxa"/>
                  <w:vAlign w:val="center"/>
                </w:tcPr>
                <w:p>
                  <w:pPr>
                    <w:jc w:val="center"/>
                    <w:rPr>
                      <w:color w:val="auto"/>
                    </w:rPr>
                  </w:pPr>
                  <w:r>
                    <w:rPr>
                      <w:rFonts w:hint="eastAsia"/>
                      <w:color w:val="auto"/>
                    </w:rPr>
                    <w:t>物料名称</w:t>
                  </w:r>
                </w:p>
              </w:tc>
              <w:tc>
                <w:tcPr>
                  <w:tcW w:w="1531" w:type="dxa"/>
                  <w:vAlign w:val="center"/>
                </w:tcPr>
                <w:p>
                  <w:pPr>
                    <w:jc w:val="center"/>
                    <w:rPr>
                      <w:color w:val="auto"/>
                    </w:rPr>
                  </w:pPr>
                  <w:r>
                    <w:rPr>
                      <w:rFonts w:hint="eastAsia"/>
                      <w:color w:val="auto"/>
                    </w:rPr>
                    <w:t>数量</w:t>
                  </w:r>
                </w:p>
              </w:tc>
              <w:tc>
                <w:tcPr>
                  <w:tcW w:w="1489" w:type="dxa"/>
                  <w:vAlign w:val="center"/>
                </w:tcPr>
                <w:p>
                  <w:pPr>
                    <w:jc w:val="center"/>
                    <w:rPr>
                      <w:color w:val="auto"/>
                    </w:rPr>
                  </w:pPr>
                  <w:r>
                    <w:rPr>
                      <w:rFonts w:hint="eastAsia"/>
                      <w:color w:val="auto"/>
                    </w:rPr>
                    <w:t>序号</w:t>
                  </w:r>
                </w:p>
              </w:tc>
              <w:tc>
                <w:tcPr>
                  <w:tcW w:w="1490" w:type="dxa"/>
                  <w:vAlign w:val="center"/>
                </w:tcPr>
                <w:p>
                  <w:pPr>
                    <w:jc w:val="center"/>
                    <w:rPr>
                      <w:color w:val="auto"/>
                    </w:rPr>
                  </w:pPr>
                  <w:r>
                    <w:rPr>
                      <w:rFonts w:hint="eastAsia"/>
                      <w:color w:val="auto"/>
                    </w:rPr>
                    <w:t>物料名称</w:t>
                  </w:r>
                </w:p>
              </w:tc>
              <w:tc>
                <w:tcPr>
                  <w:tcW w:w="1490" w:type="dxa"/>
                  <w:vAlign w:val="center"/>
                </w:tcPr>
                <w:p>
                  <w:pPr>
                    <w:jc w:val="center"/>
                    <w:rPr>
                      <w:color w:val="auto"/>
                    </w:rPr>
                  </w:pPr>
                  <w:r>
                    <w:rPr>
                      <w:rFonts w:hint="eastAsia"/>
                      <w:color w:val="auto"/>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0" w:type="dxa"/>
                  <w:vAlign w:val="center"/>
                </w:tcPr>
                <w:p>
                  <w:pPr>
                    <w:jc w:val="center"/>
                    <w:rPr>
                      <w:color w:val="auto"/>
                    </w:rPr>
                  </w:pPr>
                  <w:r>
                    <w:rPr>
                      <w:rFonts w:hint="eastAsia"/>
                      <w:color w:val="auto"/>
                    </w:rPr>
                    <w:t>1</w:t>
                  </w:r>
                  <w:r>
                    <w:rPr>
                      <w:color w:val="auto"/>
                    </w:rPr>
                    <w:t>.1</w:t>
                  </w:r>
                </w:p>
              </w:tc>
              <w:tc>
                <w:tcPr>
                  <w:tcW w:w="1531" w:type="dxa"/>
                  <w:vAlign w:val="center"/>
                </w:tcPr>
                <w:p>
                  <w:pPr>
                    <w:jc w:val="center"/>
                    <w:rPr>
                      <w:color w:val="auto"/>
                    </w:rPr>
                  </w:pPr>
                  <w:r>
                    <w:rPr>
                      <w:rFonts w:hint="eastAsia"/>
                      <w:color w:val="auto"/>
                    </w:rPr>
                    <w:t>氨水含氨</w:t>
                  </w:r>
                </w:p>
              </w:tc>
              <w:tc>
                <w:tcPr>
                  <w:tcW w:w="1531" w:type="dxa"/>
                  <w:vAlign w:val="center"/>
                </w:tcPr>
                <w:p>
                  <w:pPr>
                    <w:jc w:val="center"/>
                    <w:rPr>
                      <w:color w:val="auto"/>
                    </w:rPr>
                  </w:pPr>
                  <w:r>
                    <w:rPr>
                      <w:rFonts w:hint="eastAsia"/>
                      <w:color w:val="auto"/>
                    </w:rPr>
                    <w:t>370</w:t>
                  </w:r>
                </w:p>
              </w:tc>
              <w:tc>
                <w:tcPr>
                  <w:tcW w:w="1489" w:type="dxa"/>
                  <w:vAlign w:val="center"/>
                </w:tcPr>
                <w:p>
                  <w:pPr>
                    <w:jc w:val="center"/>
                    <w:rPr>
                      <w:color w:val="auto"/>
                    </w:rPr>
                  </w:pPr>
                  <w:r>
                    <w:rPr>
                      <w:color w:val="auto"/>
                    </w:rPr>
                    <w:t>2.1</w:t>
                  </w:r>
                </w:p>
              </w:tc>
              <w:tc>
                <w:tcPr>
                  <w:tcW w:w="1490" w:type="dxa"/>
                  <w:vAlign w:val="center"/>
                </w:tcPr>
                <w:p>
                  <w:pPr>
                    <w:jc w:val="center"/>
                    <w:rPr>
                      <w:color w:val="auto"/>
                    </w:rPr>
                  </w:pPr>
                  <w:r>
                    <w:rPr>
                      <w:rFonts w:hint="eastAsia"/>
                      <w:color w:val="auto"/>
                    </w:rPr>
                    <w:t>氨逃逸</w:t>
                  </w:r>
                </w:p>
              </w:tc>
              <w:tc>
                <w:tcPr>
                  <w:tcW w:w="1490" w:type="dxa"/>
                  <w:vAlign w:val="center"/>
                </w:tcPr>
                <w:p>
                  <w:pPr>
                    <w:jc w:val="center"/>
                    <w:rPr>
                      <w:color w:val="auto"/>
                    </w:rPr>
                  </w:pPr>
                  <w:r>
                    <w:rPr>
                      <w:color w:val="auto"/>
                    </w:rPr>
                    <w:t>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0" w:type="dxa"/>
                  <w:vAlign w:val="center"/>
                </w:tcPr>
                <w:p>
                  <w:pPr>
                    <w:jc w:val="center"/>
                    <w:rPr>
                      <w:color w:val="auto"/>
                    </w:rPr>
                  </w:pPr>
                </w:p>
              </w:tc>
              <w:tc>
                <w:tcPr>
                  <w:tcW w:w="1531" w:type="dxa"/>
                  <w:vAlign w:val="center"/>
                </w:tcPr>
                <w:p>
                  <w:pPr>
                    <w:jc w:val="center"/>
                    <w:rPr>
                      <w:color w:val="auto"/>
                    </w:rPr>
                  </w:pPr>
                </w:p>
              </w:tc>
              <w:tc>
                <w:tcPr>
                  <w:tcW w:w="1531" w:type="dxa"/>
                  <w:vAlign w:val="center"/>
                </w:tcPr>
                <w:p>
                  <w:pPr>
                    <w:jc w:val="center"/>
                    <w:rPr>
                      <w:color w:val="auto"/>
                    </w:rPr>
                  </w:pPr>
                </w:p>
              </w:tc>
              <w:tc>
                <w:tcPr>
                  <w:tcW w:w="1489" w:type="dxa"/>
                  <w:vAlign w:val="center"/>
                </w:tcPr>
                <w:p>
                  <w:pPr>
                    <w:jc w:val="center"/>
                    <w:rPr>
                      <w:color w:val="auto"/>
                    </w:rPr>
                  </w:pPr>
                  <w:r>
                    <w:rPr>
                      <w:rFonts w:hint="eastAsia"/>
                      <w:color w:val="auto"/>
                    </w:rPr>
                    <w:t>2</w:t>
                  </w:r>
                  <w:r>
                    <w:rPr>
                      <w:color w:val="auto"/>
                    </w:rPr>
                    <w:t>.2</w:t>
                  </w:r>
                </w:p>
              </w:tc>
              <w:tc>
                <w:tcPr>
                  <w:tcW w:w="1490" w:type="dxa"/>
                  <w:vAlign w:val="center"/>
                </w:tcPr>
                <w:p>
                  <w:pPr>
                    <w:jc w:val="center"/>
                    <w:rPr>
                      <w:color w:val="auto"/>
                    </w:rPr>
                  </w:pPr>
                  <w:r>
                    <w:rPr>
                      <w:rFonts w:hint="eastAsia"/>
                      <w:color w:val="auto"/>
                    </w:rPr>
                    <w:t>无组织排放</w:t>
                  </w:r>
                </w:p>
              </w:tc>
              <w:tc>
                <w:tcPr>
                  <w:tcW w:w="1490" w:type="dxa"/>
                  <w:vAlign w:val="center"/>
                </w:tcPr>
                <w:p>
                  <w:pPr>
                    <w:jc w:val="center"/>
                    <w:rPr>
                      <w:color w:val="auto"/>
                    </w:rPr>
                  </w:pPr>
                  <w:r>
                    <w:rPr>
                      <w:color w:val="auto"/>
                    </w:rPr>
                    <w:t>0.</w:t>
                  </w:r>
                  <w:r>
                    <w:rPr>
                      <w:rFonts w:hint="eastAsia"/>
                      <w:color w:val="auto"/>
                    </w:rPr>
                    <w:t>18</w:t>
                  </w:r>
                  <w:r>
                    <w:rPr>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0" w:type="dxa"/>
                  <w:vAlign w:val="center"/>
                </w:tcPr>
                <w:p>
                  <w:pPr>
                    <w:jc w:val="center"/>
                    <w:rPr>
                      <w:color w:val="auto"/>
                    </w:rPr>
                  </w:pPr>
                </w:p>
              </w:tc>
              <w:tc>
                <w:tcPr>
                  <w:tcW w:w="1531" w:type="dxa"/>
                  <w:vAlign w:val="center"/>
                </w:tcPr>
                <w:p>
                  <w:pPr>
                    <w:jc w:val="center"/>
                    <w:rPr>
                      <w:color w:val="auto"/>
                    </w:rPr>
                  </w:pPr>
                </w:p>
              </w:tc>
              <w:tc>
                <w:tcPr>
                  <w:tcW w:w="1531" w:type="dxa"/>
                  <w:vAlign w:val="center"/>
                </w:tcPr>
                <w:p>
                  <w:pPr>
                    <w:jc w:val="center"/>
                    <w:rPr>
                      <w:color w:val="auto"/>
                    </w:rPr>
                  </w:pPr>
                </w:p>
              </w:tc>
              <w:tc>
                <w:tcPr>
                  <w:tcW w:w="1489" w:type="dxa"/>
                  <w:vAlign w:val="center"/>
                </w:tcPr>
                <w:p>
                  <w:pPr>
                    <w:jc w:val="center"/>
                    <w:rPr>
                      <w:color w:val="auto"/>
                    </w:rPr>
                  </w:pPr>
                  <w:r>
                    <w:rPr>
                      <w:rFonts w:hint="eastAsia"/>
                      <w:color w:val="auto"/>
                    </w:rPr>
                    <w:t>2</w:t>
                  </w:r>
                  <w:r>
                    <w:rPr>
                      <w:color w:val="auto"/>
                    </w:rPr>
                    <w:t>.3</w:t>
                  </w:r>
                </w:p>
              </w:tc>
              <w:tc>
                <w:tcPr>
                  <w:tcW w:w="1490" w:type="dxa"/>
                  <w:vAlign w:val="center"/>
                </w:tcPr>
                <w:p>
                  <w:pPr>
                    <w:jc w:val="center"/>
                    <w:rPr>
                      <w:color w:val="auto"/>
                    </w:rPr>
                  </w:pPr>
                  <w:r>
                    <w:rPr>
                      <w:rFonts w:hint="eastAsia"/>
                      <w:color w:val="auto"/>
                    </w:rPr>
                    <w:t>进入硫酸铵</w:t>
                  </w:r>
                </w:p>
              </w:tc>
              <w:tc>
                <w:tcPr>
                  <w:tcW w:w="1490" w:type="dxa"/>
                  <w:vAlign w:val="center"/>
                </w:tcPr>
                <w:p>
                  <w:pPr>
                    <w:jc w:val="center"/>
                    <w:rPr>
                      <w:color w:val="auto"/>
                    </w:rPr>
                  </w:pPr>
                  <w:r>
                    <w:rPr>
                      <w:rFonts w:hint="eastAsia"/>
                      <w:color w:val="auto"/>
                    </w:rPr>
                    <w:t>360.185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61" w:type="dxa"/>
                  <w:gridSpan w:val="2"/>
                  <w:vAlign w:val="center"/>
                </w:tcPr>
                <w:p>
                  <w:pPr>
                    <w:jc w:val="center"/>
                    <w:rPr>
                      <w:color w:val="auto"/>
                    </w:rPr>
                  </w:pPr>
                  <w:r>
                    <w:rPr>
                      <w:rFonts w:hint="eastAsia"/>
                      <w:color w:val="auto"/>
                    </w:rPr>
                    <w:t>合计</w:t>
                  </w:r>
                </w:p>
              </w:tc>
              <w:tc>
                <w:tcPr>
                  <w:tcW w:w="1531" w:type="dxa"/>
                  <w:vAlign w:val="center"/>
                </w:tcPr>
                <w:p>
                  <w:pPr>
                    <w:jc w:val="center"/>
                    <w:rPr>
                      <w:color w:val="auto"/>
                    </w:rPr>
                  </w:pPr>
                  <w:r>
                    <w:rPr>
                      <w:rFonts w:hint="eastAsia"/>
                      <w:color w:val="auto"/>
                    </w:rPr>
                    <w:t>370</w:t>
                  </w:r>
                </w:p>
              </w:tc>
              <w:tc>
                <w:tcPr>
                  <w:tcW w:w="2979" w:type="dxa"/>
                  <w:gridSpan w:val="2"/>
                  <w:vAlign w:val="center"/>
                </w:tcPr>
                <w:p>
                  <w:pPr>
                    <w:jc w:val="center"/>
                    <w:rPr>
                      <w:color w:val="auto"/>
                    </w:rPr>
                  </w:pPr>
                  <w:r>
                    <w:rPr>
                      <w:rFonts w:hint="eastAsia"/>
                      <w:color w:val="auto"/>
                    </w:rPr>
                    <w:t>合计</w:t>
                  </w:r>
                </w:p>
              </w:tc>
              <w:tc>
                <w:tcPr>
                  <w:tcW w:w="1490" w:type="dxa"/>
                  <w:vAlign w:val="center"/>
                </w:tcPr>
                <w:p>
                  <w:pPr>
                    <w:jc w:val="center"/>
                    <w:rPr>
                      <w:color w:val="auto"/>
                    </w:rPr>
                  </w:pPr>
                  <w:r>
                    <w:rPr>
                      <w:rFonts w:hint="eastAsia"/>
                      <w:color w:val="auto"/>
                    </w:rPr>
                    <w:t>370</w:t>
                  </w:r>
                </w:p>
              </w:tc>
            </w:tr>
          </w:tbl>
          <w:p>
            <w:pPr>
              <w:spacing w:before="40" w:line="360" w:lineRule="auto"/>
              <w:jc w:val="center"/>
              <w:rPr>
                <w:color w:val="auto"/>
              </w:rPr>
            </w:pPr>
            <w:r>
              <w:rPr>
                <w:color w:val="auto"/>
              </w:rPr>
              <w:object>
                <v:shape id="_x0000_i1027" o:spt="75" type="#_x0000_t75" style="height:91.8pt;width:442.8pt;" o:ole="t" filled="f" o:preferrelative="t" stroked="f" coordsize="21600,21600">
                  <v:path/>
                  <v:fill on="f" focussize="0,0"/>
                  <v:stroke on="f"/>
                  <v:imagedata r:id="rId13" o:title=""/>
                  <o:lock v:ext="edit" aspectratio="t"/>
                  <w10:wrap type="none"/>
                  <w10:anchorlock/>
                </v:shape>
                <o:OLEObject Type="Embed" ProgID="Visio.Drawing.11" ShapeID="_x0000_i1027" DrawAspect="Content" ObjectID="_1468075728" r:id="rId12">
                  <o:LockedField>false</o:LockedField>
                </o:OLEObject>
              </w:object>
            </w:r>
          </w:p>
          <w:p>
            <w:pPr>
              <w:spacing w:before="40" w:line="360" w:lineRule="auto"/>
              <w:jc w:val="center"/>
              <w:rPr>
                <w:color w:val="auto"/>
                <w:sz w:val="24"/>
                <w:szCs w:val="24"/>
              </w:rPr>
            </w:pPr>
            <w:r>
              <w:rPr>
                <w:rFonts w:hint="eastAsia"/>
                <w:color w:val="auto"/>
                <w:sz w:val="24"/>
                <w:szCs w:val="24"/>
              </w:rPr>
              <w:t>图</w:t>
            </w:r>
            <w:r>
              <w:rPr>
                <w:color w:val="auto"/>
                <w:sz w:val="24"/>
                <w:szCs w:val="24"/>
              </w:rPr>
              <w:t xml:space="preserve">4 </w:t>
            </w:r>
            <w:r>
              <w:rPr>
                <w:rFonts w:hint="eastAsia"/>
                <w:color w:val="auto"/>
                <w:sz w:val="24"/>
                <w:szCs w:val="24"/>
              </w:rPr>
              <w:t>项目硫平衡示意图（t</w:t>
            </w:r>
            <w:r>
              <w:rPr>
                <w:color w:val="auto"/>
                <w:sz w:val="24"/>
                <w:szCs w:val="24"/>
              </w:rPr>
              <w:t>/</w:t>
            </w:r>
            <w:r>
              <w:rPr>
                <w:rFonts w:hint="eastAsia"/>
                <w:color w:val="auto"/>
                <w:sz w:val="24"/>
                <w:szCs w:val="24"/>
              </w:rPr>
              <w:t>a）</w:t>
            </w:r>
          </w:p>
          <w:p>
            <w:pPr>
              <w:spacing w:before="40" w:line="360" w:lineRule="auto"/>
              <w:jc w:val="center"/>
              <w:rPr>
                <w:color w:val="auto"/>
              </w:rPr>
            </w:pPr>
            <w:r>
              <w:rPr>
                <w:color w:val="auto"/>
              </w:rPr>
              <w:object>
                <v:shape id="_x0000_i1028" o:spt="75" type="#_x0000_t75" style="height:145.2pt;width:442.8pt;" o:ole="t" filled="f" o:preferrelative="t" stroked="f" coordsize="21600,21600">
                  <v:path/>
                  <v:fill on="f" focussize="0,0"/>
                  <v:stroke on="f"/>
                  <v:imagedata r:id="rId15" o:title=""/>
                  <o:lock v:ext="edit" aspectratio="t"/>
                  <w10:wrap type="none"/>
                  <w10:anchorlock/>
                </v:shape>
                <o:OLEObject Type="Embed" ProgID="Visio.Drawing.11" ShapeID="_x0000_i1028" DrawAspect="Content" ObjectID="_1468075729" r:id="rId14">
                  <o:LockedField>false</o:LockedField>
                </o:OLEObject>
              </w:object>
            </w:r>
          </w:p>
          <w:p>
            <w:pPr>
              <w:spacing w:before="40" w:line="360" w:lineRule="auto"/>
              <w:jc w:val="center"/>
              <w:rPr>
                <w:color w:val="auto"/>
                <w:sz w:val="24"/>
                <w:szCs w:val="24"/>
              </w:rPr>
            </w:pPr>
            <w:r>
              <w:rPr>
                <w:rFonts w:hint="eastAsia"/>
                <w:color w:val="auto"/>
                <w:sz w:val="24"/>
                <w:szCs w:val="24"/>
              </w:rPr>
              <w:t>图</w:t>
            </w:r>
            <w:r>
              <w:rPr>
                <w:color w:val="auto"/>
                <w:sz w:val="24"/>
                <w:szCs w:val="24"/>
              </w:rPr>
              <w:t xml:space="preserve">5 </w:t>
            </w:r>
            <w:r>
              <w:rPr>
                <w:rFonts w:hint="eastAsia"/>
                <w:color w:val="auto"/>
                <w:sz w:val="24"/>
                <w:szCs w:val="24"/>
              </w:rPr>
              <w:t>项目氨平衡示意图（t</w:t>
            </w:r>
            <w:r>
              <w:rPr>
                <w:color w:val="auto"/>
                <w:sz w:val="24"/>
                <w:szCs w:val="24"/>
              </w:rPr>
              <w:t>/</w:t>
            </w:r>
            <w:r>
              <w:rPr>
                <w:rFonts w:hint="eastAsia"/>
                <w:color w:val="auto"/>
                <w:sz w:val="24"/>
                <w:szCs w:val="24"/>
              </w:rPr>
              <w:t>a）</w:t>
            </w:r>
          </w:p>
          <w:p>
            <w:pPr>
              <w:spacing w:before="40" w:line="360" w:lineRule="auto"/>
              <w:ind w:firstLine="480" w:firstLineChars="200"/>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7" w:type="dxa"/>
          </w:tcPr>
          <w:p>
            <w:pPr>
              <w:spacing w:before="156" w:beforeLines="50" w:after="156" w:afterLines="50"/>
              <w:rPr>
                <w:color w:val="auto"/>
                <w:sz w:val="28"/>
                <w:szCs w:val="28"/>
              </w:rPr>
            </w:pPr>
            <w:r>
              <w:rPr>
                <w:color w:val="auto"/>
                <w:sz w:val="28"/>
                <w:szCs w:val="28"/>
              </w:rPr>
              <w:t>主要污染工序：</w:t>
            </w:r>
          </w:p>
          <w:p>
            <w:pPr>
              <w:spacing w:line="360" w:lineRule="auto"/>
              <w:ind w:firstLine="480" w:firstLineChars="200"/>
              <w:rPr>
                <w:color w:val="auto"/>
                <w:sz w:val="24"/>
                <w:szCs w:val="24"/>
              </w:rPr>
            </w:pPr>
            <w:r>
              <w:rPr>
                <w:color w:val="auto"/>
                <w:sz w:val="24"/>
                <w:szCs w:val="24"/>
              </w:rPr>
              <w:t>一、施工期</w:t>
            </w:r>
          </w:p>
          <w:p>
            <w:pPr>
              <w:spacing w:line="360" w:lineRule="auto"/>
              <w:ind w:firstLine="480" w:firstLineChars="200"/>
              <w:rPr>
                <w:color w:val="auto"/>
                <w:sz w:val="24"/>
                <w:szCs w:val="24"/>
              </w:rPr>
            </w:pPr>
            <w:r>
              <w:rPr>
                <w:rFonts w:hint="eastAsia"/>
                <w:color w:val="auto"/>
                <w:sz w:val="24"/>
                <w:szCs w:val="24"/>
              </w:rPr>
              <w:t>本项目已建成并与2018年5月建成并正式投入运行，施工期对环境造成的不利影响亦随之消失。</w:t>
            </w:r>
          </w:p>
          <w:p>
            <w:pPr>
              <w:spacing w:line="360" w:lineRule="auto"/>
              <w:ind w:firstLine="482" w:firstLineChars="200"/>
              <w:rPr>
                <w:b/>
                <w:bCs/>
                <w:color w:val="auto"/>
                <w:sz w:val="24"/>
                <w:szCs w:val="24"/>
              </w:rPr>
            </w:pPr>
            <w:r>
              <w:rPr>
                <w:b/>
                <w:bCs/>
                <w:color w:val="auto"/>
                <w:sz w:val="24"/>
                <w:szCs w:val="24"/>
              </w:rPr>
              <w:t>二、运营期</w:t>
            </w:r>
          </w:p>
          <w:p>
            <w:pPr>
              <w:spacing w:line="360" w:lineRule="auto"/>
              <w:ind w:firstLine="480" w:firstLineChars="200"/>
              <w:rPr>
                <w:color w:val="auto"/>
                <w:sz w:val="24"/>
                <w:szCs w:val="24"/>
              </w:rPr>
            </w:pPr>
            <w:r>
              <w:rPr>
                <w:color w:val="auto"/>
                <w:sz w:val="24"/>
                <w:szCs w:val="24"/>
              </w:rPr>
              <w:t>1、产污环节及污染防治措施</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1 \* GB2 </w:instrText>
            </w:r>
            <w:r>
              <w:rPr>
                <w:color w:val="auto"/>
                <w:sz w:val="24"/>
                <w:szCs w:val="24"/>
              </w:rPr>
              <w:fldChar w:fldCharType="separate"/>
            </w:r>
            <w:r>
              <w:rPr>
                <w:rFonts w:hint="eastAsia" w:ascii="宋体" w:hAnsi="宋体" w:cs="宋体"/>
                <w:color w:val="auto"/>
                <w:sz w:val="24"/>
                <w:szCs w:val="24"/>
              </w:rPr>
              <w:t>⑴</w:t>
            </w:r>
            <w:r>
              <w:rPr>
                <w:color w:val="auto"/>
                <w:sz w:val="24"/>
                <w:szCs w:val="24"/>
              </w:rPr>
              <w:fldChar w:fldCharType="end"/>
            </w:r>
            <w:r>
              <w:rPr>
                <w:color w:val="auto"/>
                <w:sz w:val="24"/>
                <w:szCs w:val="24"/>
              </w:rPr>
              <w:t>废气</w:t>
            </w:r>
          </w:p>
          <w:p>
            <w:pPr>
              <w:spacing w:line="360" w:lineRule="auto"/>
              <w:ind w:firstLine="480" w:firstLineChars="200"/>
              <w:rPr>
                <w:color w:val="auto"/>
                <w:sz w:val="24"/>
                <w:szCs w:val="24"/>
              </w:rPr>
            </w:pPr>
            <w:r>
              <w:rPr>
                <w:rFonts w:hint="eastAsia"/>
                <w:color w:val="auto"/>
                <w:sz w:val="24"/>
                <w:szCs w:val="24"/>
              </w:rPr>
              <w:t>锅炉烟气</w:t>
            </w:r>
            <w:r>
              <w:rPr>
                <w:color w:val="auto"/>
                <w:sz w:val="24"/>
                <w:szCs w:val="24"/>
              </w:rPr>
              <w:t>（G</w:t>
            </w:r>
            <w:r>
              <w:rPr>
                <w:color w:val="auto"/>
                <w:sz w:val="24"/>
                <w:szCs w:val="24"/>
                <w:vertAlign w:val="subscript"/>
              </w:rPr>
              <w:t>1</w:t>
            </w:r>
            <w:r>
              <w:rPr>
                <w:color w:val="auto"/>
                <w:sz w:val="24"/>
                <w:szCs w:val="24"/>
              </w:rPr>
              <w:t>~G</w:t>
            </w:r>
            <w:r>
              <w:rPr>
                <w:rFonts w:hint="eastAsia"/>
                <w:color w:val="auto"/>
                <w:sz w:val="24"/>
                <w:szCs w:val="24"/>
                <w:vertAlign w:val="subscript"/>
              </w:rPr>
              <w:t>3</w:t>
            </w:r>
            <w:r>
              <w:rPr>
                <w:color w:val="auto"/>
                <w:sz w:val="24"/>
                <w:szCs w:val="24"/>
              </w:rPr>
              <w:t>）：</w:t>
            </w:r>
            <w:r>
              <w:rPr>
                <w:rFonts w:hint="eastAsia"/>
                <w:color w:val="auto"/>
                <w:sz w:val="24"/>
                <w:szCs w:val="24"/>
              </w:rPr>
              <w:t>来自5台燃气锅炉，主要污染物为颗粒物、SO</w:t>
            </w:r>
            <w:r>
              <w:rPr>
                <w:rFonts w:hint="eastAsia"/>
                <w:color w:val="auto"/>
                <w:sz w:val="24"/>
                <w:szCs w:val="24"/>
                <w:vertAlign w:val="subscript"/>
              </w:rPr>
              <w:t>2</w:t>
            </w:r>
            <w:r>
              <w:rPr>
                <w:rFonts w:hint="eastAsia"/>
                <w:color w:val="auto"/>
                <w:sz w:val="24"/>
                <w:szCs w:val="24"/>
              </w:rPr>
              <w:t>和NO</w:t>
            </w:r>
            <w:r>
              <w:rPr>
                <w:rFonts w:hint="eastAsia"/>
                <w:color w:val="auto"/>
                <w:sz w:val="24"/>
                <w:szCs w:val="24"/>
                <w:vertAlign w:val="subscript"/>
              </w:rPr>
              <w:t>X</w:t>
            </w:r>
            <w:r>
              <w:rPr>
                <w:rFonts w:hint="eastAsia"/>
                <w:color w:val="auto"/>
                <w:sz w:val="24"/>
                <w:szCs w:val="24"/>
              </w:rPr>
              <w:t>，锅炉配置低氮燃烧器，烟气经氨法脱硫+布袋除尘器处理后排放；</w:t>
            </w:r>
          </w:p>
          <w:p>
            <w:pPr>
              <w:spacing w:line="360" w:lineRule="auto"/>
              <w:ind w:firstLine="480" w:firstLineChars="200"/>
              <w:rPr>
                <w:color w:val="auto"/>
                <w:sz w:val="24"/>
                <w:szCs w:val="24"/>
              </w:rPr>
            </w:pPr>
            <w:r>
              <w:rPr>
                <w:rFonts w:hint="eastAsia"/>
                <w:color w:val="auto"/>
                <w:sz w:val="24"/>
                <w:szCs w:val="24"/>
              </w:rPr>
              <w:t>氨气（G</w:t>
            </w:r>
            <w:r>
              <w:rPr>
                <w:rFonts w:hint="eastAsia"/>
                <w:color w:val="auto"/>
                <w:sz w:val="24"/>
                <w:szCs w:val="24"/>
                <w:vertAlign w:val="subscript"/>
              </w:rPr>
              <w:t>4</w:t>
            </w:r>
            <w:r>
              <w:rPr>
                <w:rFonts w:hint="eastAsia"/>
                <w:color w:val="auto"/>
                <w:sz w:val="24"/>
                <w:szCs w:val="24"/>
              </w:rPr>
              <w:t>）：主要来自氨区氨水储罐无组织逸散，主要污染物为NH</w:t>
            </w:r>
            <w:r>
              <w:rPr>
                <w:rFonts w:hint="eastAsia"/>
                <w:color w:val="auto"/>
                <w:sz w:val="24"/>
                <w:szCs w:val="24"/>
                <w:vertAlign w:val="subscript"/>
              </w:rPr>
              <w:t>3</w:t>
            </w:r>
            <w:r>
              <w:rPr>
                <w:rFonts w:hint="eastAsia"/>
                <w:color w:val="auto"/>
                <w:sz w:val="24"/>
                <w:szCs w:val="24"/>
              </w:rPr>
              <w:t>。</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2 \* GB2 </w:instrText>
            </w:r>
            <w:r>
              <w:rPr>
                <w:color w:val="auto"/>
                <w:sz w:val="24"/>
                <w:szCs w:val="24"/>
              </w:rPr>
              <w:fldChar w:fldCharType="separate"/>
            </w:r>
            <w:r>
              <w:rPr>
                <w:rFonts w:hint="eastAsia" w:ascii="宋体" w:hAnsi="宋体" w:cs="宋体"/>
                <w:color w:val="auto"/>
                <w:sz w:val="24"/>
                <w:szCs w:val="24"/>
              </w:rPr>
              <w:t>⑵</w:t>
            </w:r>
            <w:r>
              <w:rPr>
                <w:color w:val="auto"/>
                <w:sz w:val="24"/>
                <w:szCs w:val="24"/>
              </w:rPr>
              <w:fldChar w:fldCharType="end"/>
            </w:r>
            <w:r>
              <w:rPr>
                <w:color w:val="auto"/>
                <w:sz w:val="24"/>
                <w:szCs w:val="24"/>
              </w:rPr>
              <w:t>废水</w:t>
            </w:r>
          </w:p>
          <w:p>
            <w:pPr>
              <w:spacing w:line="360" w:lineRule="auto"/>
              <w:ind w:firstLine="480" w:firstLineChars="200"/>
              <w:rPr>
                <w:color w:val="auto"/>
                <w:sz w:val="24"/>
                <w:szCs w:val="24"/>
              </w:rPr>
            </w:pPr>
            <w:r>
              <w:rPr>
                <w:rFonts w:hint="eastAsia"/>
                <w:color w:val="auto"/>
                <w:sz w:val="24"/>
                <w:szCs w:val="24"/>
              </w:rPr>
              <w:t>项目运营期无废水产生。</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3 \* GB2 </w:instrText>
            </w:r>
            <w:r>
              <w:rPr>
                <w:color w:val="auto"/>
                <w:sz w:val="24"/>
                <w:szCs w:val="24"/>
              </w:rPr>
              <w:fldChar w:fldCharType="separate"/>
            </w:r>
            <w:r>
              <w:rPr>
                <w:rFonts w:hint="eastAsia" w:ascii="宋体" w:hAnsi="宋体" w:cs="宋体"/>
                <w:color w:val="auto"/>
                <w:sz w:val="24"/>
                <w:szCs w:val="24"/>
              </w:rPr>
              <w:t>⑶</w:t>
            </w:r>
            <w:r>
              <w:rPr>
                <w:color w:val="auto"/>
                <w:sz w:val="24"/>
                <w:szCs w:val="24"/>
              </w:rPr>
              <w:fldChar w:fldCharType="end"/>
            </w:r>
            <w:r>
              <w:rPr>
                <w:color w:val="auto"/>
                <w:sz w:val="24"/>
                <w:szCs w:val="24"/>
              </w:rPr>
              <w:t>固废</w:t>
            </w:r>
          </w:p>
          <w:p>
            <w:pPr>
              <w:spacing w:line="360" w:lineRule="auto"/>
              <w:ind w:firstLine="480" w:firstLineChars="200"/>
              <w:rPr>
                <w:color w:val="auto"/>
                <w:sz w:val="24"/>
                <w:szCs w:val="24"/>
              </w:rPr>
            </w:pPr>
            <w:r>
              <w:rPr>
                <w:rFonts w:hint="eastAsia"/>
                <w:color w:val="auto"/>
                <w:sz w:val="24"/>
                <w:szCs w:val="24"/>
              </w:rPr>
              <w:t>本项目运营期无固废产生。</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4 \* GB2 </w:instrText>
            </w:r>
            <w:r>
              <w:rPr>
                <w:color w:val="auto"/>
                <w:sz w:val="24"/>
                <w:szCs w:val="24"/>
              </w:rPr>
              <w:fldChar w:fldCharType="separate"/>
            </w:r>
            <w:r>
              <w:rPr>
                <w:rFonts w:hint="eastAsia" w:ascii="宋体" w:hAnsi="宋体" w:cs="宋体"/>
                <w:color w:val="auto"/>
                <w:sz w:val="24"/>
                <w:szCs w:val="24"/>
              </w:rPr>
              <w:t>⑷</w:t>
            </w:r>
            <w:r>
              <w:rPr>
                <w:color w:val="auto"/>
                <w:sz w:val="24"/>
                <w:szCs w:val="24"/>
              </w:rPr>
              <w:fldChar w:fldCharType="end"/>
            </w:r>
            <w:r>
              <w:rPr>
                <w:color w:val="auto"/>
                <w:sz w:val="24"/>
                <w:szCs w:val="24"/>
              </w:rPr>
              <w:t>噪声</w:t>
            </w:r>
          </w:p>
          <w:p>
            <w:pPr>
              <w:spacing w:line="360" w:lineRule="auto"/>
              <w:ind w:firstLine="480" w:firstLineChars="200"/>
              <w:rPr>
                <w:color w:val="auto"/>
                <w:sz w:val="24"/>
                <w:szCs w:val="24"/>
              </w:rPr>
            </w:pPr>
            <w:r>
              <w:rPr>
                <w:color w:val="auto"/>
                <w:sz w:val="24"/>
                <w:szCs w:val="24"/>
              </w:rPr>
              <w:t>新增泵类等设备运行过程产生的噪声，主要污染因子为等效连续A声级。</w:t>
            </w:r>
          </w:p>
          <w:p>
            <w:pPr>
              <w:spacing w:line="360" w:lineRule="auto"/>
              <w:ind w:firstLine="480" w:firstLineChars="200"/>
              <w:rPr>
                <w:color w:val="auto"/>
                <w:sz w:val="24"/>
                <w:szCs w:val="24"/>
              </w:rPr>
            </w:pPr>
            <w:r>
              <w:rPr>
                <w:color w:val="auto"/>
                <w:sz w:val="24"/>
                <w:szCs w:val="24"/>
              </w:rPr>
              <w:t>项目运营期主要污染工序和污染因子见表</w:t>
            </w:r>
            <w:r>
              <w:rPr>
                <w:rFonts w:hint="eastAsia"/>
                <w:color w:val="auto"/>
                <w:sz w:val="24"/>
                <w:szCs w:val="24"/>
              </w:rPr>
              <w:t>1</w:t>
            </w:r>
            <w:r>
              <w:rPr>
                <w:color w:val="auto"/>
                <w:sz w:val="24"/>
                <w:szCs w:val="24"/>
              </w:rPr>
              <w:t>7。</w:t>
            </w:r>
          </w:p>
          <w:p>
            <w:pPr>
              <w:spacing w:line="360" w:lineRule="auto"/>
              <w:jc w:val="center"/>
              <w:rPr>
                <w:rFonts w:eastAsia="黑体"/>
                <w:color w:val="auto"/>
                <w:sz w:val="24"/>
                <w:szCs w:val="24"/>
              </w:rPr>
            </w:pPr>
            <w:r>
              <w:rPr>
                <w:rFonts w:eastAsia="黑体"/>
                <w:color w:val="auto"/>
                <w:sz w:val="24"/>
                <w:szCs w:val="24"/>
              </w:rPr>
              <w:t>表</w:t>
            </w:r>
            <w:r>
              <w:rPr>
                <w:rFonts w:hint="eastAsia" w:eastAsia="黑体"/>
                <w:color w:val="auto"/>
                <w:sz w:val="24"/>
                <w:szCs w:val="24"/>
              </w:rPr>
              <w:t>1</w:t>
            </w:r>
            <w:r>
              <w:rPr>
                <w:rFonts w:eastAsia="黑体"/>
                <w:color w:val="auto"/>
                <w:sz w:val="24"/>
                <w:szCs w:val="24"/>
              </w:rPr>
              <w:t>7项目运营期主要为污染工序及污染因子一览表</w:t>
            </w:r>
          </w:p>
          <w:tbl>
            <w:tblPr>
              <w:tblStyle w:val="26"/>
              <w:tblW w:w="88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1921"/>
              <w:gridCol w:w="1317"/>
              <w:gridCol w:w="2231"/>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44" w:type="dxa"/>
                  <w:gridSpan w:val="2"/>
                  <w:tcBorders>
                    <w:top w:val="single" w:color="auto" w:sz="4" w:space="0"/>
                    <w:left w:val="single" w:color="auto" w:sz="4" w:space="0"/>
                    <w:bottom w:val="single" w:color="auto" w:sz="4" w:space="0"/>
                    <w:right w:val="single" w:color="auto" w:sz="4" w:space="0"/>
                  </w:tcBorders>
                  <w:vAlign w:val="center"/>
                </w:tcPr>
                <w:p>
                  <w:pPr>
                    <w:pStyle w:val="21"/>
                    <w:rPr>
                      <w:color w:val="auto"/>
                    </w:rPr>
                  </w:pPr>
                  <w:r>
                    <w:rPr>
                      <w:color w:val="auto"/>
                    </w:rPr>
                    <w:t>类别</w:t>
                  </w:r>
                </w:p>
              </w:tc>
              <w:tc>
                <w:tcPr>
                  <w:tcW w:w="1317" w:type="dxa"/>
                  <w:tcBorders>
                    <w:top w:val="single" w:color="auto" w:sz="4" w:space="0"/>
                    <w:left w:val="single" w:color="auto" w:sz="4" w:space="0"/>
                    <w:bottom w:val="single" w:color="auto" w:sz="4" w:space="0"/>
                    <w:right w:val="single" w:color="auto" w:sz="4" w:space="0"/>
                  </w:tcBorders>
                  <w:vAlign w:val="center"/>
                </w:tcPr>
                <w:p>
                  <w:pPr>
                    <w:pStyle w:val="21"/>
                    <w:rPr>
                      <w:color w:val="auto"/>
                    </w:rPr>
                  </w:pPr>
                  <w:r>
                    <w:rPr>
                      <w:color w:val="auto"/>
                    </w:rPr>
                    <w:t>编号</w:t>
                  </w:r>
                </w:p>
              </w:tc>
              <w:tc>
                <w:tcPr>
                  <w:tcW w:w="2231" w:type="dxa"/>
                  <w:tcBorders>
                    <w:top w:val="single" w:color="auto" w:sz="4" w:space="0"/>
                    <w:left w:val="single" w:color="auto" w:sz="4" w:space="0"/>
                    <w:bottom w:val="single" w:color="auto" w:sz="4" w:space="0"/>
                    <w:right w:val="single" w:color="auto" w:sz="4" w:space="0"/>
                  </w:tcBorders>
                  <w:vAlign w:val="center"/>
                </w:tcPr>
                <w:p>
                  <w:pPr>
                    <w:pStyle w:val="21"/>
                    <w:rPr>
                      <w:color w:val="auto"/>
                    </w:rPr>
                  </w:pPr>
                  <w:r>
                    <w:rPr>
                      <w:color w:val="auto"/>
                    </w:rPr>
                    <w:t>主要污染工序</w:t>
                  </w:r>
                </w:p>
              </w:tc>
              <w:tc>
                <w:tcPr>
                  <w:tcW w:w="1777" w:type="dxa"/>
                  <w:tcBorders>
                    <w:top w:val="single" w:color="auto" w:sz="4" w:space="0"/>
                    <w:left w:val="single" w:color="auto" w:sz="4" w:space="0"/>
                    <w:bottom w:val="single" w:color="auto" w:sz="4" w:space="0"/>
                    <w:right w:val="single" w:color="auto" w:sz="4" w:space="0"/>
                  </w:tcBorders>
                  <w:vAlign w:val="center"/>
                </w:tcPr>
                <w:p>
                  <w:pPr>
                    <w:pStyle w:val="21"/>
                    <w:rPr>
                      <w:color w:val="auto"/>
                    </w:rPr>
                  </w:pPr>
                  <w:r>
                    <w:rPr>
                      <w:color w:val="auto"/>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23" w:type="dxa"/>
                  <w:vMerge w:val="restart"/>
                  <w:tcBorders>
                    <w:top w:val="single" w:color="auto" w:sz="4" w:space="0"/>
                    <w:left w:val="single" w:color="auto" w:sz="4" w:space="0"/>
                    <w:bottom w:val="single" w:color="auto" w:sz="4" w:space="0"/>
                    <w:right w:val="single" w:color="auto" w:sz="4" w:space="0"/>
                  </w:tcBorders>
                  <w:vAlign w:val="center"/>
                </w:tcPr>
                <w:p>
                  <w:pPr>
                    <w:pStyle w:val="21"/>
                    <w:rPr>
                      <w:color w:val="auto"/>
                    </w:rPr>
                  </w:pPr>
                  <w:r>
                    <w:rPr>
                      <w:color w:val="auto"/>
                    </w:rPr>
                    <w:t>废气</w:t>
                  </w:r>
                </w:p>
              </w:tc>
              <w:tc>
                <w:tcPr>
                  <w:tcW w:w="1921" w:type="dxa"/>
                  <w:tcBorders>
                    <w:top w:val="single" w:color="auto" w:sz="4" w:space="0"/>
                    <w:left w:val="single" w:color="auto" w:sz="4" w:space="0"/>
                    <w:bottom w:val="single" w:color="auto" w:sz="4" w:space="0"/>
                    <w:right w:val="single" w:color="auto" w:sz="4" w:space="0"/>
                  </w:tcBorders>
                  <w:vAlign w:val="center"/>
                </w:tcPr>
                <w:p>
                  <w:pPr>
                    <w:pStyle w:val="21"/>
                    <w:rPr>
                      <w:color w:val="auto"/>
                    </w:rPr>
                  </w:pPr>
                  <w:r>
                    <w:rPr>
                      <w:rFonts w:hint="eastAsia"/>
                      <w:color w:val="auto"/>
                    </w:rPr>
                    <w:t>锅炉烟气</w:t>
                  </w:r>
                </w:p>
              </w:tc>
              <w:tc>
                <w:tcPr>
                  <w:tcW w:w="1317" w:type="dxa"/>
                  <w:tcBorders>
                    <w:top w:val="single" w:color="auto" w:sz="4" w:space="0"/>
                    <w:left w:val="single" w:color="auto" w:sz="4" w:space="0"/>
                    <w:bottom w:val="single" w:color="auto" w:sz="4" w:space="0"/>
                    <w:right w:val="single" w:color="auto" w:sz="4" w:space="0"/>
                  </w:tcBorders>
                  <w:vAlign w:val="center"/>
                </w:tcPr>
                <w:p>
                  <w:pPr>
                    <w:pStyle w:val="21"/>
                    <w:rPr>
                      <w:color w:val="auto"/>
                    </w:rPr>
                  </w:pPr>
                  <w:r>
                    <w:rPr>
                      <w:color w:val="auto"/>
                    </w:rPr>
                    <w:t>G1~G</w:t>
                  </w:r>
                  <w:r>
                    <w:rPr>
                      <w:rFonts w:hint="eastAsia"/>
                      <w:color w:val="auto"/>
                    </w:rPr>
                    <w:t>3</w:t>
                  </w:r>
                </w:p>
              </w:tc>
              <w:tc>
                <w:tcPr>
                  <w:tcW w:w="2231" w:type="dxa"/>
                  <w:tcBorders>
                    <w:top w:val="single" w:color="auto" w:sz="4" w:space="0"/>
                    <w:left w:val="single" w:color="auto" w:sz="4" w:space="0"/>
                    <w:bottom w:val="single" w:color="auto" w:sz="4" w:space="0"/>
                    <w:right w:val="single" w:color="auto" w:sz="4" w:space="0"/>
                  </w:tcBorders>
                  <w:vAlign w:val="center"/>
                </w:tcPr>
                <w:p>
                  <w:pPr>
                    <w:pStyle w:val="21"/>
                    <w:rPr>
                      <w:color w:val="auto"/>
                    </w:rPr>
                  </w:pPr>
                  <w:r>
                    <w:rPr>
                      <w:rFonts w:hint="eastAsia"/>
                      <w:color w:val="auto"/>
                    </w:rPr>
                    <w:t>5台燃气锅炉</w:t>
                  </w:r>
                </w:p>
              </w:tc>
              <w:tc>
                <w:tcPr>
                  <w:tcW w:w="1777" w:type="dxa"/>
                  <w:tcBorders>
                    <w:top w:val="single" w:color="auto" w:sz="4" w:space="0"/>
                    <w:left w:val="single" w:color="auto" w:sz="4" w:space="0"/>
                    <w:bottom w:val="single" w:color="auto" w:sz="4" w:space="0"/>
                    <w:right w:val="single" w:color="auto" w:sz="4" w:space="0"/>
                  </w:tcBorders>
                  <w:vAlign w:val="center"/>
                </w:tcPr>
                <w:p>
                  <w:pPr>
                    <w:pStyle w:val="21"/>
                    <w:rPr>
                      <w:color w:val="auto"/>
                    </w:rPr>
                  </w:pPr>
                  <w:r>
                    <w:rPr>
                      <w:rFonts w:hint="eastAsia"/>
                      <w:color w:val="auto"/>
                    </w:rPr>
                    <w:t>颗粒物、SO</w:t>
                  </w:r>
                  <w:r>
                    <w:rPr>
                      <w:rFonts w:hint="eastAsia"/>
                      <w:color w:val="auto"/>
                      <w:vertAlign w:val="subscript"/>
                    </w:rPr>
                    <w:t>2</w:t>
                  </w:r>
                  <w:r>
                    <w:rPr>
                      <w:rFonts w:hint="eastAsia"/>
                      <w:color w:val="auto"/>
                    </w:rPr>
                    <w:t>、NO</w:t>
                  </w:r>
                  <w:r>
                    <w:rPr>
                      <w:rFonts w:hint="eastAsia"/>
                      <w:color w:val="auto"/>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23" w:type="dxa"/>
                  <w:vMerge w:val="continue"/>
                  <w:tcBorders>
                    <w:top w:val="single" w:color="auto" w:sz="4" w:space="0"/>
                    <w:left w:val="single" w:color="auto" w:sz="4" w:space="0"/>
                    <w:bottom w:val="single" w:color="auto" w:sz="4" w:space="0"/>
                    <w:right w:val="single" w:color="auto" w:sz="4" w:space="0"/>
                  </w:tcBorders>
                  <w:vAlign w:val="center"/>
                </w:tcPr>
                <w:p>
                  <w:pPr>
                    <w:pStyle w:val="21"/>
                    <w:rPr>
                      <w:color w:val="auto"/>
                    </w:rPr>
                  </w:pPr>
                </w:p>
              </w:tc>
              <w:tc>
                <w:tcPr>
                  <w:tcW w:w="1921" w:type="dxa"/>
                  <w:tcBorders>
                    <w:top w:val="single" w:color="auto" w:sz="4" w:space="0"/>
                    <w:left w:val="single" w:color="auto" w:sz="4" w:space="0"/>
                    <w:bottom w:val="single" w:color="auto" w:sz="4" w:space="0"/>
                    <w:right w:val="single" w:color="auto" w:sz="4" w:space="0"/>
                  </w:tcBorders>
                  <w:vAlign w:val="center"/>
                </w:tcPr>
                <w:p>
                  <w:pPr>
                    <w:pStyle w:val="21"/>
                    <w:rPr>
                      <w:color w:val="auto"/>
                    </w:rPr>
                  </w:pPr>
                  <w:r>
                    <w:rPr>
                      <w:rFonts w:hint="eastAsia"/>
                      <w:color w:val="auto"/>
                    </w:rPr>
                    <w:t>氨气</w:t>
                  </w:r>
                </w:p>
              </w:tc>
              <w:tc>
                <w:tcPr>
                  <w:tcW w:w="1317" w:type="dxa"/>
                  <w:tcBorders>
                    <w:top w:val="single" w:color="auto" w:sz="4" w:space="0"/>
                    <w:left w:val="single" w:color="auto" w:sz="4" w:space="0"/>
                    <w:bottom w:val="single" w:color="auto" w:sz="4" w:space="0"/>
                    <w:right w:val="single" w:color="auto" w:sz="4" w:space="0"/>
                  </w:tcBorders>
                  <w:vAlign w:val="center"/>
                </w:tcPr>
                <w:p>
                  <w:pPr>
                    <w:pStyle w:val="21"/>
                    <w:rPr>
                      <w:color w:val="auto"/>
                    </w:rPr>
                  </w:pPr>
                  <w:r>
                    <w:rPr>
                      <w:color w:val="auto"/>
                    </w:rPr>
                    <w:t>G</w:t>
                  </w:r>
                  <w:r>
                    <w:rPr>
                      <w:rFonts w:hint="eastAsia"/>
                      <w:color w:val="auto"/>
                      <w:vertAlign w:val="subscript"/>
                    </w:rPr>
                    <w:t>4</w:t>
                  </w:r>
                </w:p>
              </w:tc>
              <w:tc>
                <w:tcPr>
                  <w:tcW w:w="2231" w:type="dxa"/>
                  <w:tcBorders>
                    <w:top w:val="single" w:color="auto" w:sz="4" w:space="0"/>
                    <w:left w:val="single" w:color="auto" w:sz="4" w:space="0"/>
                    <w:bottom w:val="single" w:color="auto" w:sz="4" w:space="0"/>
                    <w:right w:val="single" w:color="auto" w:sz="4" w:space="0"/>
                  </w:tcBorders>
                  <w:vAlign w:val="center"/>
                </w:tcPr>
                <w:p>
                  <w:pPr>
                    <w:pStyle w:val="21"/>
                    <w:rPr>
                      <w:color w:val="auto"/>
                    </w:rPr>
                  </w:pPr>
                  <w:r>
                    <w:rPr>
                      <w:rFonts w:hint="eastAsia"/>
                      <w:color w:val="auto"/>
                    </w:rPr>
                    <w:t>氨区</w:t>
                  </w:r>
                </w:p>
              </w:tc>
              <w:tc>
                <w:tcPr>
                  <w:tcW w:w="1777" w:type="dxa"/>
                  <w:tcBorders>
                    <w:top w:val="single" w:color="auto" w:sz="4" w:space="0"/>
                    <w:left w:val="single" w:color="auto" w:sz="4" w:space="0"/>
                    <w:bottom w:val="single" w:color="auto" w:sz="4" w:space="0"/>
                    <w:right w:val="single" w:color="auto" w:sz="4" w:space="0"/>
                  </w:tcBorders>
                  <w:vAlign w:val="center"/>
                </w:tcPr>
                <w:p>
                  <w:pPr>
                    <w:pStyle w:val="21"/>
                    <w:rPr>
                      <w:color w:val="auto"/>
                    </w:rPr>
                  </w:pPr>
                  <w:r>
                    <w:rPr>
                      <w:rFonts w:hint="eastAsia"/>
                      <w:color w:val="auto"/>
                    </w:rPr>
                    <w:t>NH</w:t>
                  </w:r>
                  <w:r>
                    <w:rPr>
                      <w:rFonts w:hint="eastAsia"/>
                      <w:color w:val="auto"/>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44" w:type="dxa"/>
                  <w:gridSpan w:val="2"/>
                  <w:tcBorders>
                    <w:top w:val="single" w:color="auto" w:sz="4" w:space="0"/>
                    <w:left w:val="single" w:color="auto" w:sz="4" w:space="0"/>
                    <w:bottom w:val="single" w:color="auto" w:sz="4" w:space="0"/>
                    <w:right w:val="single" w:color="auto" w:sz="4" w:space="0"/>
                  </w:tcBorders>
                  <w:vAlign w:val="center"/>
                </w:tcPr>
                <w:p>
                  <w:pPr>
                    <w:pStyle w:val="21"/>
                    <w:rPr>
                      <w:color w:val="auto"/>
                    </w:rPr>
                  </w:pPr>
                  <w:r>
                    <w:rPr>
                      <w:color w:val="auto"/>
                    </w:rPr>
                    <w:t>噪声</w:t>
                  </w:r>
                </w:p>
              </w:tc>
              <w:tc>
                <w:tcPr>
                  <w:tcW w:w="1317" w:type="dxa"/>
                  <w:tcBorders>
                    <w:top w:val="single" w:color="auto" w:sz="4" w:space="0"/>
                    <w:left w:val="single" w:color="auto" w:sz="4" w:space="0"/>
                    <w:bottom w:val="single" w:color="auto" w:sz="4" w:space="0"/>
                    <w:right w:val="single" w:color="auto" w:sz="4" w:space="0"/>
                  </w:tcBorders>
                  <w:vAlign w:val="center"/>
                </w:tcPr>
                <w:p>
                  <w:pPr>
                    <w:pStyle w:val="21"/>
                    <w:rPr>
                      <w:color w:val="auto"/>
                    </w:rPr>
                  </w:pPr>
                  <w:r>
                    <w:rPr>
                      <w:color w:val="auto"/>
                    </w:rPr>
                    <w:t>N</w:t>
                  </w:r>
                </w:p>
              </w:tc>
              <w:tc>
                <w:tcPr>
                  <w:tcW w:w="2231" w:type="dxa"/>
                  <w:tcBorders>
                    <w:top w:val="single" w:color="auto" w:sz="4" w:space="0"/>
                    <w:left w:val="single" w:color="auto" w:sz="4" w:space="0"/>
                    <w:bottom w:val="single" w:color="auto" w:sz="4" w:space="0"/>
                    <w:right w:val="single" w:color="auto" w:sz="4" w:space="0"/>
                  </w:tcBorders>
                  <w:vAlign w:val="center"/>
                </w:tcPr>
                <w:p>
                  <w:pPr>
                    <w:pStyle w:val="21"/>
                    <w:rPr>
                      <w:color w:val="auto"/>
                    </w:rPr>
                  </w:pPr>
                </w:p>
              </w:tc>
              <w:tc>
                <w:tcPr>
                  <w:tcW w:w="1777" w:type="dxa"/>
                  <w:tcBorders>
                    <w:top w:val="single" w:color="auto" w:sz="4" w:space="0"/>
                    <w:left w:val="single" w:color="auto" w:sz="4" w:space="0"/>
                    <w:bottom w:val="single" w:color="auto" w:sz="4" w:space="0"/>
                    <w:right w:val="single" w:color="auto" w:sz="4" w:space="0"/>
                  </w:tcBorders>
                  <w:vAlign w:val="center"/>
                </w:tcPr>
                <w:p>
                  <w:pPr>
                    <w:pStyle w:val="21"/>
                    <w:rPr>
                      <w:color w:val="auto"/>
                    </w:rPr>
                  </w:pPr>
                  <w:r>
                    <w:rPr>
                      <w:color w:val="auto"/>
                    </w:rPr>
                    <w:t>等效连续A声级</w:t>
                  </w:r>
                </w:p>
              </w:tc>
            </w:tr>
          </w:tbl>
          <w:p>
            <w:pPr>
              <w:spacing w:line="360" w:lineRule="auto"/>
              <w:ind w:firstLine="480" w:firstLineChars="200"/>
              <w:rPr>
                <w:color w:val="auto"/>
                <w:sz w:val="24"/>
                <w:szCs w:val="24"/>
              </w:rPr>
            </w:pPr>
            <w:r>
              <w:rPr>
                <w:color w:val="auto"/>
                <w:sz w:val="24"/>
                <w:szCs w:val="24"/>
              </w:rPr>
              <w:t>2、</w:t>
            </w:r>
            <w:r>
              <w:rPr>
                <w:rFonts w:hint="eastAsia"/>
                <w:color w:val="auto"/>
                <w:sz w:val="24"/>
                <w:szCs w:val="24"/>
              </w:rPr>
              <w:t>废气</w:t>
            </w:r>
            <w:r>
              <w:rPr>
                <w:color w:val="auto"/>
                <w:sz w:val="24"/>
                <w:szCs w:val="24"/>
              </w:rPr>
              <w:t>污染源强计算</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1 \* GB2 </w:instrText>
            </w:r>
            <w:r>
              <w:rPr>
                <w:color w:val="auto"/>
                <w:sz w:val="24"/>
                <w:szCs w:val="24"/>
              </w:rPr>
              <w:fldChar w:fldCharType="separate"/>
            </w:r>
            <w:r>
              <w:rPr>
                <w:rFonts w:hint="eastAsia" w:ascii="宋体" w:hAnsi="宋体" w:cs="宋体"/>
                <w:color w:val="auto"/>
                <w:sz w:val="24"/>
                <w:szCs w:val="24"/>
              </w:rPr>
              <w:t>⑴</w:t>
            </w:r>
            <w:r>
              <w:rPr>
                <w:color w:val="auto"/>
                <w:sz w:val="24"/>
                <w:szCs w:val="24"/>
              </w:rPr>
              <w:fldChar w:fldCharType="end"/>
            </w:r>
            <w:r>
              <w:rPr>
                <w:rFonts w:hint="eastAsia"/>
                <w:color w:val="auto"/>
                <w:sz w:val="24"/>
                <w:szCs w:val="24"/>
              </w:rPr>
              <w:t>有组织废气</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1 \* GB3</w:instrText>
            </w:r>
            <w:r>
              <w:rPr>
                <w:color w:val="auto"/>
                <w:sz w:val="24"/>
                <w:szCs w:val="24"/>
              </w:rPr>
              <w:instrText xml:space="preserve"> </w:instrText>
            </w:r>
            <w:r>
              <w:rPr>
                <w:color w:val="auto"/>
                <w:sz w:val="24"/>
                <w:szCs w:val="24"/>
              </w:rPr>
              <w:fldChar w:fldCharType="separate"/>
            </w:r>
            <w:r>
              <w:rPr>
                <w:rFonts w:hint="eastAsia"/>
                <w:color w:val="auto"/>
                <w:sz w:val="24"/>
                <w:szCs w:val="24"/>
              </w:rPr>
              <w:t>①</w:t>
            </w:r>
            <w:r>
              <w:rPr>
                <w:color w:val="auto"/>
                <w:sz w:val="24"/>
                <w:szCs w:val="24"/>
              </w:rPr>
              <w:fldChar w:fldCharType="end"/>
            </w:r>
            <w:r>
              <w:rPr>
                <w:rFonts w:hint="eastAsia"/>
                <w:color w:val="auto"/>
                <w:sz w:val="24"/>
                <w:szCs w:val="24"/>
              </w:rPr>
              <w:t>锅炉烟气</w:t>
            </w:r>
          </w:p>
          <w:p>
            <w:pPr>
              <w:spacing w:line="360" w:lineRule="auto"/>
              <w:ind w:firstLine="480" w:firstLineChars="200"/>
              <w:rPr>
                <w:color w:val="auto"/>
                <w:sz w:val="24"/>
                <w:szCs w:val="24"/>
              </w:rPr>
            </w:pPr>
            <w:r>
              <w:rPr>
                <w:rFonts w:hint="eastAsia"/>
                <w:color w:val="auto"/>
                <w:sz w:val="24"/>
                <w:szCs w:val="24"/>
              </w:rPr>
              <w:t>项目共5台燃气锅炉，以陕西龙门钢铁（集团）有限责任公司高炉煤气为燃料，运行过程中产生的主要污染物为颗粒物、SO</w:t>
            </w:r>
            <w:r>
              <w:rPr>
                <w:rFonts w:hint="eastAsia"/>
                <w:color w:val="auto"/>
                <w:sz w:val="24"/>
                <w:szCs w:val="24"/>
                <w:vertAlign w:val="subscript"/>
              </w:rPr>
              <w:t>2</w:t>
            </w:r>
            <w:r>
              <w:rPr>
                <w:rFonts w:hint="eastAsia"/>
                <w:color w:val="auto"/>
                <w:sz w:val="24"/>
                <w:szCs w:val="24"/>
              </w:rPr>
              <w:t>及NO</w:t>
            </w:r>
            <w:r>
              <w:rPr>
                <w:rFonts w:hint="eastAsia"/>
                <w:color w:val="auto"/>
                <w:sz w:val="24"/>
                <w:szCs w:val="24"/>
                <w:vertAlign w:val="subscript"/>
              </w:rPr>
              <w:t>X</w:t>
            </w:r>
            <w:r>
              <w:rPr>
                <w:rFonts w:hint="eastAsia"/>
                <w:color w:val="auto"/>
                <w:sz w:val="24"/>
                <w:szCs w:val="24"/>
              </w:rPr>
              <w:t>，根据建设单位提供的脱硫除尘项目正式运行后在线监测系统及废气例行监测数据烟气颗粒物、SO</w:t>
            </w:r>
            <w:r>
              <w:rPr>
                <w:rFonts w:hint="eastAsia"/>
                <w:color w:val="auto"/>
                <w:sz w:val="24"/>
                <w:szCs w:val="24"/>
                <w:vertAlign w:val="subscript"/>
              </w:rPr>
              <w:t>2</w:t>
            </w:r>
            <w:r>
              <w:rPr>
                <w:rFonts w:hint="eastAsia"/>
                <w:color w:val="auto"/>
                <w:sz w:val="24"/>
                <w:szCs w:val="24"/>
              </w:rPr>
              <w:t>及NO</w:t>
            </w:r>
            <w:r>
              <w:rPr>
                <w:rFonts w:hint="eastAsia"/>
                <w:color w:val="auto"/>
                <w:sz w:val="24"/>
                <w:szCs w:val="24"/>
                <w:vertAlign w:val="subscript"/>
              </w:rPr>
              <w:t>X</w:t>
            </w:r>
            <w:r>
              <w:rPr>
                <w:rFonts w:hint="eastAsia"/>
                <w:color w:val="auto"/>
                <w:sz w:val="24"/>
                <w:szCs w:val="24"/>
              </w:rPr>
              <w:t>监测结果，锅炉烟气主要污染物及产生排放情况如下：</w:t>
            </w:r>
          </w:p>
          <w:p>
            <w:pPr>
              <w:spacing w:line="360" w:lineRule="auto"/>
              <w:ind w:firstLine="480" w:firstLineChars="200"/>
              <w:rPr>
                <w:color w:val="auto"/>
                <w:sz w:val="24"/>
                <w:szCs w:val="24"/>
              </w:rPr>
            </w:pPr>
            <w:r>
              <w:rPr>
                <w:rFonts w:hint="eastAsia"/>
                <w:color w:val="auto"/>
                <w:sz w:val="24"/>
                <w:szCs w:val="24"/>
              </w:rPr>
              <w:t>1#、2#炉烟气量为311192Nm</w:t>
            </w:r>
            <w:r>
              <w:rPr>
                <w:rFonts w:hint="eastAsia"/>
                <w:color w:val="auto"/>
                <w:sz w:val="24"/>
                <w:szCs w:val="24"/>
                <w:vertAlign w:val="superscript"/>
              </w:rPr>
              <w:t>3</w:t>
            </w:r>
            <w:r>
              <w:rPr>
                <w:rFonts w:hint="eastAsia"/>
                <w:color w:val="auto"/>
                <w:sz w:val="24"/>
                <w:szCs w:val="24"/>
              </w:rPr>
              <w:t>/h，主要污染物颗粒物、SO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r>
              <w:rPr>
                <w:rFonts w:hint="eastAsia"/>
                <w:color w:val="auto"/>
                <w:sz w:val="24"/>
                <w:szCs w:val="24"/>
              </w:rPr>
              <w:t>产生浓度分别为134mg/m</w:t>
            </w:r>
            <w:r>
              <w:rPr>
                <w:rFonts w:hint="eastAsia"/>
                <w:color w:val="auto"/>
                <w:sz w:val="24"/>
                <w:szCs w:val="24"/>
                <w:vertAlign w:val="superscript"/>
              </w:rPr>
              <w:t>3</w:t>
            </w:r>
            <w:r>
              <w:rPr>
                <w:rFonts w:hint="eastAsia"/>
                <w:color w:val="auto"/>
                <w:sz w:val="24"/>
                <w:szCs w:val="24"/>
              </w:rPr>
              <w:t>、80.5mg/m</w:t>
            </w:r>
            <w:r>
              <w:rPr>
                <w:rFonts w:hint="eastAsia"/>
                <w:color w:val="auto"/>
                <w:sz w:val="24"/>
                <w:szCs w:val="24"/>
                <w:vertAlign w:val="superscript"/>
              </w:rPr>
              <w:t>3</w:t>
            </w:r>
            <w:r>
              <w:rPr>
                <w:rFonts w:hint="eastAsia"/>
                <w:color w:val="auto"/>
                <w:sz w:val="24"/>
                <w:szCs w:val="24"/>
              </w:rPr>
              <w:t>和72.3mg/m</w:t>
            </w:r>
            <w:r>
              <w:rPr>
                <w:rFonts w:hint="eastAsia"/>
                <w:color w:val="auto"/>
                <w:sz w:val="24"/>
                <w:szCs w:val="24"/>
                <w:vertAlign w:val="superscript"/>
              </w:rPr>
              <w:t>3</w:t>
            </w:r>
            <w:r>
              <w:rPr>
                <w:rFonts w:hint="eastAsia"/>
                <w:color w:val="auto"/>
                <w:sz w:val="24"/>
                <w:szCs w:val="24"/>
              </w:rPr>
              <w:t>，产生量分别为41.07kg/h、25.05kg/h和22.50kg/h；经脱硫除尘系统处理后，颗粒物、SO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r>
              <w:rPr>
                <w:rFonts w:hint="eastAsia"/>
                <w:color w:val="auto"/>
                <w:sz w:val="24"/>
                <w:szCs w:val="24"/>
              </w:rPr>
              <w:t>排放浓度分别为1.34mg/m</w:t>
            </w:r>
            <w:r>
              <w:rPr>
                <w:rFonts w:hint="eastAsia"/>
                <w:color w:val="auto"/>
                <w:sz w:val="24"/>
                <w:szCs w:val="24"/>
                <w:vertAlign w:val="superscript"/>
              </w:rPr>
              <w:t>3</w:t>
            </w:r>
            <w:r>
              <w:rPr>
                <w:rFonts w:hint="eastAsia"/>
                <w:color w:val="auto"/>
                <w:sz w:val="24"/>
                <w:szCs w:val="24"/>
              </w:rPr>
              <w:t>、16.1mg/m</w:t>
            </w:r>
            <w:r>
              <w:rPr>
                <w:rFonts w:hint="eastAsia"/>
                <w:color w:val="auto"/>
                <w:sz w:val="24"/>
                <w:szCs w:val="24"/>
                <w:vertAlign w:val="superscript"/>
              </w:rPr>
              <w:t>3</w:t>
            </w:r>
            <w:r>
              <w:rPr>
                <w:rFonts w:hint="eastAsia"/>
                <w:color w:val="auto"/>
                <w:sz w:val="24"/>
                <w:szCs w:val="24"/>
              </w:rPr>
              <w:t>和72.3mg/m</w:t>
            </w:r>
            <w:r>
              <w:rPr>
                <w:rFonts w:hint="eastAsia"/>
                <w:color w:val="auto"/>
                <w:sz w:val="24"/>
                <w:szCs w:val="24"/>
                <w:vertAlign w:val="superscript"/>
              </w:rPr>
              <w:t>3</w:t>
            </w:r>
            <w:r>
              <w:rPr>
                <w:rFonts w:hint="eastAsia"/>
                <w:color w:val="auto"/>
                <w:sz w:val="24"/>
                <w:szCs w:val="24"/>
              </w:rPr>
              <w:t>，排放量分别为0.42kg/h、5.01kg/h和22.50kg/h；</w:t>
            </w:r>
          </w:p>
          <w:p>
            <w:pPr>
              <w:spacing w:line="360" w:lineRule="auto"/>
              <w:ind w:firstLine="480" w:firstLineChars="200"/>
              <w:rPr>
                <w:color w:val="auto"/>
                <w:sz w:val="24"/>
                <w:szCs w:val="24"/>
              </w:rPr>
            </w:pPr>
            <w:r>
              <w:rPr>
                <w:rFonts w:hint="eastAsia"/>
                <w:color w:val="auto"/>
                <w:sz w:val="24"/>
                <w:szCs w:val="24"/>
              </w:rPr>
              <w:t>3#炉烟气量为232248Nm</w:t>
            </w:r>
            <w:r>
              <w:rPr>
                <w:rFonts w:hint="eastAsia"/>
                <w:color w:val="auto"/>
                <w:sz w:val="24"/>
                <w:szCs w:val="24"/>
                <w:vertAlign w:val="superscript"/>
              </w:rPr>
              <w:t>3</w:t>
            </w:r>
            <w:r>
              <w:rPr>
                <w:rFonts w:hint="eastAsia"/>
                <w:color w:val="auto"/>
                <w:sz w:val="24"/>
                <w:szCs w:val="24"/>
              </w:rPr>
              <w:t>/h，主要污染物颗粒物、SO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r>
              <w:rPr>
                <w:rFonts w:hint="eastAsia"/>
                <w:color w:val="auto"/>
                <w:sz w:val="24"/>
                <w:szCs w:val="24"/>
              </w:rPr>
              <w:t>产生浓度分别为123mg/m</w:t>
            </w:r>
            <w:r>
              <w:rPr>
                <w:rFonts w:hint="eastAsia"/>
                <w:color w:val="auto"/>
                <w:sz w:val="24"/>
                <w:szCs w:val="24"/>
                <w:vertAlign w:val="superscript"/>
              </w:rPr>
              <w:t>3</w:t>
            </w:r>
            <w:r>
              <w:rPr>
                <w:rFonts w:hint="eastAsia"/>
                <w:color w:val="auto"/>
                <w:sz w:val="24"/>
                <w:szCs w:val="24"/>
              </w:rPr>
              <w:t>、91.9mg/m</w:t>
            </w:r>
            <w:r>
              <w:rPr>
                <w:rFonts w:hint="eastAsia"/>
                <w:color w:val="auto"/>
                <w:sz w:val="24"/>
                <w:szCs w:val="24"/>
                <w:vertAlign w:val="superscript"/>
              </w:rPr>
              <w:t>3</w:t>
            </w:r>
            <w:r>
              <w:rPr>
                <w:rFonts w:hint="eastAsia"/>
                <w:color w:val="auto"/>
                <w:sz w:val="24"/>
                <w:szCs w:val="24"/>
              </w:rPr>
              <w:t>和74.9mg/m</w:t>
            </w:r>
            <w:r>
              <w:rPr>
                <w:rFonts w:hint="eastAsia"/>
                <w:color w:val="auto"/>
                <w:sz w:val="24"/>
                <w:szCs w:val="24"/>
                <w:vertAlign w:val="superscript"/>
              </w:rPr>
              <w:t>3</w:t>
            </w:r>
            <w:r>
              <w:rPr>
                <w:rFonts w:hint="eastAsia"/>
                <w:color w:val="auto"/>
                <w:sz w:val="24"/>
                <w:szCs w:val="24"/>
              </w:rPr>
              <w:t>，产生量分别为28.57kg/h、21.35kg/h和17.40kg/h；经脱硫除尘系统处理后，颗粒物、SO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r>
              <w:rPr>
                <w:rFonts w:hint="eastAsia"/>
                <w:color w:val="auto"/>
                <w:sz w:val="24"/>
                <w:szCs w:val="24"/>
              </w:rPr>
              <w:t>排放浓度分别为1.23mg/m</w:t>
            </w:r>
            <w:r>
              <w:rPr>
                <w:rFonts w:hint="eastAsia"/>
                <w:color w:val="auto"/>
                <w:sz w:val="24"/>
                <w:szCs w:val="24"/>
                <w:vertAlign w:val="superscript"/>
              </w:rPr>
              <w:t>3</w:t>
            </w:r>
            <w:r>
              <w:rPr>
                <w:rFonts w:hint="eastAsia"/>
                <w:color w:val="auto"/>
                <w:sz w:val="24"/>
                <w:szCs w:val="24"/>
              </w:rPr>
              <w:t>、18.4mg/m</w:t>
            </w:r>
            <w:r>
              <w:rPr>
                <w:rFonts w:hint="eastAsia"/>
                <w:color w:val="auto"/>
                <w:sz w:val="24"/>
                <w:szCs w:val="24"/>
                <w:vertAlign w:val="superscript"/>
              </w:rPr>
              <w:t>3</w:t>
            </w:r>
            <w:r>
              <w:rPr>
                <w:rFonts w:hint="eastAsia"/>
                <w:color w:val="auto"/>
                <w:sz w:val="24"/>
                <w:szCs w:val="24"/>
              </w:rPr>
              <w:t>和74.9mg/m</w:t>
            </w:r>
            <w:r>
              <w:rPr>
                <w:rFonts w:hint="eastAsia"/>
                <w:color w:val="auto"/>
                <w:sz w:val="24"/>
                <w:szCs w:val="24"/>
                <w:vertAlign w:val="superscript"/>
              </w:rPr>
              <w:t>3</w:t>
            </w:r>
            <w:r>
              <w:rPr>
                <w:rFonts w:hint="eastAsia"/>
                <w:color w:val="auto"/>
                <w:sz w:val="24"/>
                <w:szCs w:val="24"/>
              </w:rPr>
              <w:t>，排放量分别为0.29kg/h、4.27kg/h和17.40kg/h；</w:t>
            </w:r>
          </w:p>
          <w:p>
            <w:pPr>
              <w:spacing w:line="360" w:lineRule="auto"/>
              <w:ind w:firstLine="480" w:firstLineChars="200"/>
              <w:rPr>
                <w:color w:val="auto"/>
                <w:sz w:val="24"/>
                <w:szCs w:val="24"/>
              </w:rPr>
            </w:pPr>
            <w:r>
              <w:rPr>
                <w:rFonts w:hint="eastAsia"/>
                <w:color w:val="auto"/>
                <w:sz w:val="24"/>
                <w:szCs w:val="24"/>
              </w:rPr>
              <w:t>4#、5#炉烟气量为637390Nm</w:t>
            </w:r>
            <w:r>
              <w:rPr>
                <w:rFonts w:hint="eastAsia"/>
                <w:color w:val="auto"/>
                <w:sz w:val="24"/>
                <w:szCs w:val="24"/>
                <w:vertAlign w:val="superscript"/>
              </w:rPr>
              <w:t>3</w:t>
            </w:r>
            <w:r>
              <w:rPr>
                <w:rFonts w:hint="eastAsia"/>
                <w:color w:val="auto"/>
                <w:sz w:val="24"/>
                <w:szCs w:val="24"/>
              </w:rPr>
              <w:t>/h，主要污染物颗粒物、SO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r>
              <w:rPr>
                <w:rFonts w:hint="eastAsia"/>
                <w:color w:val="auto"/>
                <w:sz w:val="24"/>
                <w:szCs w:val="24"/>
              </w:rPr>
              <w:t>产生浓度分别为464mg/m</w:t>
            </w:r>
            <w:r>
              <w:rPr>
                <w:rFonts w:hint="eastAsia"/>
                <w:color w:val="auto"/>
                <w:sz w:val="24"/>
                <w:szCs w:val="24"/>
                <w:vertAlign w:val="superscript"/>
              </w:rPr>
              <w:t>3</w:t>
            </w:r>
            <w:r>
              <w:rPr>
                <w:rFonts w:hint="eastAsia"/>
                <w:color w:val="auto"/>
                <w:sz w:val="24"/>
                <w:szCs w:val="24"/>
              </w:rPr>
              <w:t>、94.5mg/m</w:t>
            </w:r>
            <w:r>
              <w:rPr>
                <w:rFonts w:hint="eastAsia"/>
                <w:color w:val="auto"/>
                <w:sz w:val="24"/>
                <w:szCs w:val="24"/>
                <w:vertAlign w:val="superscript"/>
              </w:rPr>
              <w:t>3</w:t>
            </w:r>
            <w:r>
              <w:rPr>
                <w:rFonts w:hint="eastAsia"/>
                <w:color w:val="auto"/>
                <w:sz w:val="24"/>
                <w:szCs w:val="24"/>
              </w:rPr>
              <w:t>和79.8mg/m</w:t>
            </w:r>
            <w:r>
              <w:rPr>
                <w:rFonts w:hint="eastAsia"/>
                <w:color w:val="auto"/>
                <w:sz w:val="24"/>
                <w:szCs w:val="24"/>
                <w:vertAlign w:val="superscript"/>
              </w:rPr>
              <w:t>3</w:t>
            </w:r>
            <w:r>
              <w:rPr>
                <w:rFonts w:hint="eastAsia"/>
                <w:color w:val="auto"/>
                <w:sz w:val="24"/>
                <w:szCs w:val="24"/>
              </w:rPr>
              <w:t>，产生量分别为295.75kg/h、60.25kg/h和50.86kg/h；经脱硫除尘系统处理后，颗粒物、SO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r>
              <w:rPr>
                <w:rFonts w:hint="eastAsia"/>
                <w:color w:val="auto"/>
                <w:sz w:val="24"/>
                <w:szCs w:val="24"/>
              </w:rPr>
              <w:t>排放浓度分别为4.64mg/m</w:t>
            </w:r>
            <w:r>
              <w:rPr>
                <w:rFonts w:hint="eastAsia"/>
                <w:color w:val="auto"/>
                <w:sz w:val="24"/>
                <w:szCs w:val="24"/>
                <w:vertAlign w:val="superscript"/>
              </w:rPr>
              <w:t>3</w:t>
            </w:r>
            <w:r>
              <w:rPr>
                <w:rFonts w:hint="eastAsia"/>
                <w:color w:val="auto"/>
                <w:sz w:val="24"/>
                <w:szCs w:val="24"/>
              </w:rPr>
              <w:t>、18.9mg/m</w:t>
            </w:r>
            <w:r>
              <w:rPr>
                <w:rFonts w:hint="eastAsia"/>
                <w:color w:val="auto"/>
                <w:sz w:val="24"/>
                <w:szCs w:val="24"/>
                <w:vertAlign w:val="superscript"/>
              </w:rPr>
              <w:t>3</w:t>
            </w:r>
            <w:r>
              <w:rPr>
                <w:rFonts w:hint="eastAsia"/>
                <w:color w:val="auto"/>
                <w:sz w:val="24"/>
                <w:szCs w:val="24"/>
              </w:rPr>
              <w:t>和79.8mg/m</w:t>
            </w:r>
            <w:r>
              <w:rPr>
                <w:rFonts w:hint="eastAsia"/>
                <w:color w:val="auto"/>
                <w:sz w:val="24"/>
                <w:szCs w:val="24"/>
                <w:vertAlign w:val="superscript"/>
              </w:rPr>
              <w:t>3</w:t>
            </w:r>
            <w:r>
              <w:rPr>
                <w:rFonts w:hint="eastAsia"/>
                <w:color w:val="auto"/>
                <w:sz w:val="24"/>
                <w:szCs w:val="24"/>
              </w:rPr>
              <w:t>，排放量分别为2.96kg/h、12.05kg/h和50.86kg/h。</w:t>
            </w:r>
          </w:p>
          <w:p>
            <w:pPr>
              <w:spacing w:line="360" w:lineRule="auto"/>
              <w:ind w:firstLine="480" w:firstLineChars="200"/>
              <w:rPr>
                <w:color w:val="auto"/>
                <w:sz w:val="24"/>
                <w:szCs w:val="24"/>
              </w:rPr>
            </w:pPr>
            <w:r>
              <w:rPr>
                <w:rFonts w:hint="eastAsia"/>
                <w:color w:val="auto"/>
                <w:sz w:val="24"/>
                <w:szCs w:val="24"/>
              </w:rPr>
              <w:t>本项目各烟囱烟气经氨法脱硫除尘系统后污染物颗粒物、S</w:t>
            </w:r>
            <w:r>
              <w:rPr>
                <w:color w:val="auto"/>
                <w:sz w:val="24"/>
                <w:szCs w:val="24"/>
              </w:rPr>
              <w:t>O</w:t>
            </w:r>
            <w:r>
              <w:rPr>
                <w:color w:val="auto"/>
                <w:sz w:val="24"/>
                <w:szCs w:val="24"/>
                <w:vertAlign w:val="subscript"/>
              </w:rPr>
              <w:t>2</w:t>
            </w:r>
            <w:r>
              <w:rPr>
                <w:rFonts w:hint="eastAsia"/>
                <w:color w:val="auto"/>
                <w:sz w:val="24"/>
                <w:szCs w:val="24"/>
              </w:rPr>
              <w:t>、N</w:t>
            </w:r>
            <w:r>
              <w:rPr>
                <w:color w:val="auto"/>
                <w:sz w:val="24"/>
                <w:szCs w:val="24"/>
              </w:rPr>
              <w:t>O</w:t>
            </w:r>
            <w:r>
              <w:rPr>
                <w:color w:val="auto"/>
                <w:sz w:val="24"/>
                <w:szCs w:val="24"/>
                <w:vertAlign w:val="subscript"/>
              </w:rPr>
              <w:t>X</w:t>
            </w:r>
            <w:r>
              <w:rPr>
                <w:rFonts w:hint="eastAsia"/>
                <w:color w:val="auto"/>
                <w:sz w:val="24"/>
                <w:szCs w:val="24"/>
              </w:rPr>
              <w:t>排放浓度均符合《关中地区重点行业大气污染物排放限值》（DB61/941-2014）标准限值。</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2 \* GB3</w:instrText>
            </w:r>
            <w:r>
              <w:rPr>
                <w:color w:val="auto"/>
                <w:sz w:val="24"/>
                <w:szCs w:val="24"/>
              </w:rPr>
              <w:instrText xml:space="preserve"> </w:instrText>
            </w:r>
            <w:r>
              <w:rPr>
                <w:color w:val="auto"/>
                <w:sz w:val="24"/>
                <w:szCs w:val="24"/>
              </w:rPr>
              <w:fldChar w:fldCharType="separate"/>
            </w:r>
            <w:r>
              <w:rPr>
                <w:rFonts w:hint="eastAsia"/>
                <w:color w:val="auto"/>
                <w:sz w:val="24"/>
                <w:szCs w:val="24"/>
              </w:rPr>
              <w:t>②</w:t>
            </w:r>
            <w:r>
              <w:rPr>
                <w:color w:val="auto"/>
                <w:sz w:val="24"/>
                <w:szCs w:val="24"/>
              </w:rPr>
              <w:fldChar w:fldCharType="end"/>
            </w:r>
            <w:r>
              <w:rPr>
                <w:rFonts w:hint="eastAsia"/>
                <w:color w:val="auto"/>
                <w:sz w:val="24"/>
                <w:szCs w:val="24"/>
              </w:rPr>
              <w:t>氨逃逸</w:t>
            </w:r>
          </w:p>
          <w:p>
            <w:pPr>
              <w:spacing w:line="360" w:lineRule="auto"/>
              <w:ind w:firstLine="480" w:firstLineChars="200"/>
              <w:rPr>
                <w:color w:val="auto"/>
                <w:sz w:val="24"/>
                <w:szCs w:val="24"/>
              </w:rPr>
            </w:pPr>
            <w:r>
              <w:rPr>
                <w:rFonts w:hint="eastAsia"/>
                <w:color w:val="auto"/>
                <w:sz w:val="24"/>
                <w:szCs w:val="24"/>
              </w:rPr>
              <w:t>氨法脱硫过程中脱硫塔产生少量氨逃逸，参照《宁波万华聚氨酯有限公司MDI技术改造扩能项目（热电工程）》验收监测数据（环验[2013]204号），锅炉烟气经“喷氨脱硝+炉外布袋除尘+氨法脱硫”的处理工艺处理后，烟气排放口氨浓度为1.03mg/m</w:t>
            </w:r>
            <w:r>
              <w:rPr>
                <w:rFonts w:hint="eastAsia"/>
                <w:color w:val="auto"/>
                <w:sz w:val="24"/>
                <w:szCs w:val="24"/>
                <w:vertAlign w:val="superscript"/>
              </w:rPr>
              <w:t>3</w:t>
            </w:r>
            <w:r>
              <w:rPr>
                <w:rFonts w:hint="eastAsia"/>
                <w:color w:val="auto"/>
                <w:sz w:val="24"/>
                <w:szCs w:val="24"/>
              </w:rPr>
              <w:t>，本项目烟气脱硫除尘工艺与其炉外脱硫除尘工艺较为类似，氨逃逸浓度按1.03mg/m</w:t>
            </w:r>
            <w:r>
              <w:rPr>
                <w:rFonts w:hint="eastAsia"/>
                <w:color w:val="auto"/>
                <w:sz w:val="24"/>
                <w:szCs w:val="24"/>
                <w:vertAlign w:val="superscript"/>
              </w:rPr>
              <w:t>3</w:t>
            </w:r>
            <w:r>
              <w:rPr>
                <w:rFonts w:hint="eastAsia"/>
                <w:color w:val="auto"/>
                <w:sz w:val="24"/>
                <w:szCs w:val="24"/>
              </w:rPr>
              <w:t>。氨逃逸浓度满足《氨法烟气脱硫工程通用技术规范》（H</w:t>
            </w:r>
            <w:r>
              <w:rPr>
                <w:color w:val="auto"/>
                <w:sz w:val="24"/>
                <w:szCs w:val="24"/>
              </w:rPr>
              <w:t>J2001</w:t>
            </w:r>
            <w:r>
              <w:rPr>
                <w:rFonts w:hint="eastAsia"/>
                <w:color w:val="auto"/>
                <w:sz w:val="24"/>
                <w:szCs w:val="24"/>
              </w:rPr>
              <w:t>-</w:t>
            </w:r>
            <w:r>
              <w:rPr>
                <w:color w:val="auto"/>
                <w:sz w:val="24"/>
                <w:szCs w:val="24"/>
              </w:rPr>
              <w:t>2018</w:t>
            </w:r>
            <w:r>
              <w:rPr>
                <w:rFonts w:hint="eastAsia"/>
                <w:color w:val="auto"/>
                <w:sz w:val="24"/>
                <w:szCs w:val="24"/>
              </w:rPr>
              <w:t>）“氨逃逸浓度小时值应低于3mg</w:t>
            </w:r>
            <w:r>
              <w:rPr>
                <w:color w:val="auto"/>
                <w:sz w:val="24"/>
                <w:szCs w:val="24"/>
              </w:rPr>
              <w:t>/</w:t>
            </w:r>
            <w:r>
              <w:rPr>
                <w:rFonts w:hint="eastAsia"/>
                <w:color w:val="auto"/>
                <w:sz w:val="24"/>
                <w:szCs w:val="24"/>
              </w:rPr>
              <w:t>m</w:t>
            </w:r>
            <w:r>
              <w:rPr>
                <w:color w:val="auto"/>
                <w:sz w:val="24"/>
                <w:szCs w:val="24"/>
                <w:vertAlign w:val="superscript"/>
              </w:rPr>
              <w:t>3</w:t>
            </w:r>
            <w:r>
              <w:rPr>
                <w:rFonts w:hint="eastAsia"/>
                <w:color w:val="auto"/>
                <w:sz w:val="24"/>
                <w:szCs w:val="24"/>
              </w:rPr>
              <w:t>”的要求。项目有组织废气及其污染物产排情况见表1</w:t>
            </w:r>
            <w:r>
              <w:rPr>
                <w:color w:val="auto"/>
                <w:sz w:val="24"/>
                <w:szCs w:val="24"/>
              </w:rPr>
              <w:t>8</w:t>
            </w:r>
            <w:r>
              <w:rPr>
                <w:rFonts w:hint="eastAsia"/>
                <w:color w:val="auto"/>
                <w:sz w:val="24"/>
                <w:szCs w:val="24"/>
              </w:rPr>
              <w:t>。</w:t>
            </w:r>
          </w:p>
          <w:p>
            <w:pPr>
              <w:spacing w:line="360" w:lineRule="auto"/>
              <w:jc w:val="center"/>
              <w:rPr>
                <w:b/>
                <w:color w:val="auto"/>
                <w:sz w:val="24"/>
                <w:szCs w:val="24"/>
              </w:rPr>
            </w:pPr>
            <w:r>
              <w:rPr>
                <w:rFonts w:hint="eastAsia"/>
                <w:b/>
                <w:color w:val="auto"/>
                <w:sz w:val="24"/>
                <w:szCs w:val="24"/>
              </w:rPr>
              <w:t>表1</w:t>
            </w:r>
            <w:r>
              <w:rPr>
                <w:b/>
                <w:color w:val="auto"/>
                <w:sz w:val="24"/>
                <w:szCs w:val="24"/>
              </w:rPr>
              <w:t>8</w:t>
            </w:r>
            <w:r>
              <w:rPr>
                <w:rFonts w:hint="eastAsia"/>
                <w:b/>
                <w:color w:val="auto"/>
                <w:sz w:val="24"/>
                <w:szCs w:val="24"/>
              </w:rPr>
              <w:t xml:space="preserve">   项目有组织废气及其污染物产排情况一览表</w:t>
            </w:r>
          </w:p>
          <w:tbl>
            <w:tblPr>
              <w:tblStyle w:val="27"/>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635"/>
              <w:gridCol w:w="1040"/>
              <w:gridCol w:w="744"/>
              <w:gridCol w:w="781"/>
              <w:gridCol w:w="897"/>
              <w:gridCol w:w="926"/>
              <w:gridCol w:w="781"/>
              <w:gridCol w:w="941"/>
              <w:gridCol w:w="601"/>
              <w:gridCol w:w="601"/>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4" w:type="dxa"/>
                  <w:vMerge w:val="restart"/>
                  <w:tcMar>
                    <w:left w:w="28" w:type="dxa"/>
                    <w:right w:w="28" w:type="dxa"/>
                  </w:tcMar>
                  <w:vAlign w:val="center"/>
                </w:tcPr>
                <w:p>
                  <w:pPr>
                    <w:jc w:val="center"/>
                    <w:rPr>
                      <w:color w:val="auto"/>
                      <w:sz w:val="18"/>
                      <w:szCs w:val="18"/>
                    </w:rPr>
                  </w:pPr>
                  <w:r>
                    <w:rPr>
                      <w:rFonts w:hint="eastAsia"/>
                      <w:color w:val="auto"/>
                      <w:sz w:val="18"/>
                      <w:szCs w:val="18"/>
                    </w:rPr>
                    <w:t>污染源</w:t>
                  </w:r>
                </w:p>
              </w:tc>
              <w:tc>
                <w:tcPr>
                  <w:tcW w:w="635" w:type="dxa"/>
                  <w:vMerge w:val="restart"/>
                  <w:tcMar>
                    <w:left w:w="28" w:type="dxa"/>
                    <w:right w:w="28" w:type="dxa"/>
                  </w:tcMar>
                  <w:vAlign w:val="center"/>
                </w:tcPr>
                <w:p>
                  <w:pPr>
                    <w:jc w:val="center"/>
                    <w:rPr>
                      <w:color w:val="auto"/>
                      <w:sz w:val="18"/>
                      <w:szCs w:val="18"/>
                    </w:rPr>
                  </w:pPr>
                  <w:r>
                    <w:rPr>
                      <w:rFonts w:hint="eastAsia"/>
                      <w:color w:val="auto"/>
                      <w:sz w:val="18"/>
                      <w:szCs w:val="18"/>
                    </w:rPr>
                    <w:t>锅炉编号</w:t>
                  </w:r>
                </w:p>
              </w:tc>
              <w:tc>
                <w:tcPr>
                  <w:tcW w:w="1040" w:type="dxa"/>
                  <w:tcMar>
                    <w:left w:w="28" w:type="dxa"/>
                    <w:right w:w="28" w:type="dxa"/>
                  </w:tcMar>
                  <w:vAlign w:val="center"/>
                </w:tcPr>
                <w:p>
                  <w:pPr>
                    <w:jc w:val="center"/>
                    <w:rPr>
                      <w:color w:val="auto"/>
                      <w:sz w:val="18"/>
                      <w:szCs w:val="18"/>
                    </w:rPr>
                  </w:pPr>
                  <w:r>
                    <w:rPr>
                      <w:rFonts w:hint="eastAsia"/>
                      <w:color w:val="auto"/>
                      <w:sz w:val="18"/>
                      <w:szCs w:val="18"/>
                    </w:rPr>
                    <w:t>烟气量</w:t>
                  </w:r>
                </w:p>
              </w:tc>
              <w:tc>
                <w:tcPr>
                  <w:tcW w:w="744" w:type="dxa"/>
                  <w:vMerge w:val="restart"/>
                  <w:tcMar>
                    <w:left w:w="28" w:type="dxa"/>
                    <w:right w:w="28" w:type="dxa"/>
                  </w:tcMar>
                  <w:vAlign w:val="center"/>
                </w:tcPr>
                <w:p>
                  <w:pPr>
                    <w:jc w:val="center"/>
                    <w:rPr>
                      <w:color w:val="auto"/>
                      <w:sz w:val="18"/>
                      <w:szCs w:val="18"/>
                    </w:rPr>
                  </w:pPr>
                  <w:r>
                    <w:rPr>
                      <w:rFonts w:hint="eastAsia"/>
                      <w:color w:val="auto"/>
                      <w:sz w:val="18"/>
                      <w:szCs w:val="18"/>
                    </w:rPr>
                    <w:t>污染物</w:t>
                  </w:r>
                </w:p>
              </w:tc>
              <w:tc>
                <w:tcPr>
                  <w:tcW w:w="781" w:type="dxa"/>
                  <w:tcMar>
                    <w:left w:w="28" w:type="dxa"/>
                    <w:right w:w="28" w:type="dxa"/>
                  </w:tcMar>
                  <w:vAlign w:val="center"/>
                </w:tcPr>
                <w:p>
                  <w:pPr>
                    <w:jc w:val="center"/>
                    <w:rPr>
                      <w:color w:val="auto"/>
                      <w:sz w:val="18"/>
                      <w:szCs w:val="18"/>
                    </w:rPr>
                  </w:pPr>
                  <w:r>
                    <w:rPr>
                      <w:rFonts w:hint="eastAsia"/>
                      <w:color w:val="auto"/>
                      <w:sz w:val="18"/>
                      <w:szCs w:val="18"/>
                    </w:rPr>
                    <w:t>产生量</w:t>
                  </w:r>
                </w:p>
              </w:tc>
              <w:tc>
                <w:tcPr>
                  <w:tcW w:w="897" w:type="dxa"/>
                  <w:tcMar>
                    <w:left w:w="28" w:type="dxa"/>
                    <w:right w:w="28" w:type="dxa"/>
                  </w:tcMar>
                  <w:vAlign w:val="center"/>
                </w:tcPr>
                <w:p>
                  <w:pPr>
                    <w:jc w:val="center"/>
                    <w:rPr>
                      <w:color w:val="auto"/>
                      <w:sz w:val="18"/>
                      <w:szCs w:val="18"/>
                    </w:rPr>
                  </w:pPr>
                  <w:r>
                    <w:rPr>
                      <w:rFonts w:hint="eastAsia"/>
                      <w:color w:val="auto"/>
                      <w:sz w:val="18"/>
                      <w:szCs w:val="18"/>
                    </w:rPr>
                    <w:t>产生浓度</w:t>
                  </w:r>
                </w:p>
              </w:tc>
              <w:tc>
                <w:tcPr>
                  <w:tcW w:w="926" w:type="dxa"/>
                  <w:vMerge w:val="restart"/>
                  <w:tcMar>
                    <w:left w:w="28" w:type="dxa"/>
                    <w:right w:w="28" w:type="dxa"/>
                  </w:tcMar>
                  <w:vAlign w:val="center"/>
                </w:tcPr>
                <w:p>
                  <w:pPr>
                    <w:jc w:val="center"/>
                    <w:rPr>
                      <w:color w:val="auto"/>
                      <w:sz w:val="18"/>
                      <w:szCs w:val="18"/>
                    </w:rPr>
                  </w:pPr>
                  <w:r>
                    <w:rPr>
                      <w:rFonts w:hint="eastAsia"/>
                      <w:color w:val="auto"/>
                      <w:sz w:val="18"/>
                      <w:szCs w:val="18"/>
                    </w:rPr>
                    <w:t>治理措施</w:t>
                  </w:r>
                </w:p>
              </w:tc>
              <w:tc>
                <w:tcPr>
                  <w:tcW w:w="781" w:type="dxa"/>
                  <w:tcMar>
                    <w:left w:w="28" w:type="dxa"/>
                    <w:right w:w="28" w:type="dxa"/>
                  </w:tcMar>
                  <w:vAlign w:val="center"/>
                </w:tcPr>
                <w:p>
                  <w:pPr>
                    <w:jc w:val="center"/>
                    <w:rPr>
                      <w:color w:val="auto"/>
                      <w:sz w:val="18"/>
                      <w:szCs w:val="18"/>
                    </w:rPr>
                  </w:pPr>
                  <w:r>
                    <w:rPr>
                      <w:rFonts w:hint="eastAsia"/>
                      <w:color w:val="auto"/>
                      <w:sz w:val="18"/>
                      <w:szCs w:val="18"/>
                    </w:rPr>
                    <w:t>排放量</w:t>
                  </w:r>
                </w:p>
              </w:tc>
              <w:tc>
                <w:tcPr>
                  <w:tcW w:w="941" w:type="dxa"/>
                  <w:tcMar>
                    <w:left w:w="28" w:type="dxa"/>
                    <w:right w:w="28" w:type="dxa"/>
                  </w:tcMar>
                  <w:vAlign w:val="center"/>
                </w:tcPr>
                <w:p>
                  <w:pPr>
                    <w:jc w:val="center"/>
                    <w:rPr>
                      <w:color w:val="auto"/>
                      <w:sz w:val="18"/>
                      <w:szCs w:val="18"/>
                    </w:rPr>
                  </w:pPr>
                  <w:r>
                    <w:rPr>
                      <w:rFonts w:hint="eastAsia"/>
                      <w:color w:val="auto"/>
                      <w:sz w:val="18"/>
                      <w:szCs w:val="18"/>
                    </w:rPr>
                    <w:t>排放浓度</w:t>
                  </w:r>
                </w:p>
              </w:tc>
              <w:tc>
                <w:tcPr>
                  <w:tcW w:w="1842" w:type="dxa"/>
                  <w:gridSpan w:val="3"/>
                  <w:tcMar>
                    <w:left w:w="28" w:type="dxa"/>
                    <w:right w:w="28" w:type="dxa"/>
                  </w:tcMar>
                  <w:vAlign w:val="center"/>
                </w:tcPr>
                <w:p>
                  <w:pPr>
                    <w:jc w:val="center"/>
                    <w:rPr>
                      <w:color w:val="auto"/>
                      <w:sz w:val="18"/>
                      <w:szCs w:val="18"/>
                    </w:rPr>
                  </w:pPr>
                  <w:r>
                    <w:rPr>
                      <w:rFonts w:hint="eastAsia"/>
                      <w:color w:val="auto"/>
                      <w:sz w:val="18"/>
                      <w:szCs w:val="18"/>
                    </w:rPr>
                    <w:t>排放参数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4" w:type="dxa"/>
                  <w:vMerge w:val="continue"/>
                  <w:tcMar>
                    <w:left w:w="28" w:type="dxa"/>
                    <w:right w:w="28" w:type="dxa"/>
                  </w:tcMar>
                  <w:vAlign w:val="center"/>
                </w:tcPr>
                <w:p>
                  <w:pPr>
                    <w:jc w:val="center"/>
                    <w:rPr>
                      <w:color w:val="auto"/>
                      <w:sz w:val="18"/>
                      <w:szCs w:val="18"/>
                    </w:rPr>
                  </w:pPr>
                </w:p>
              </w:tc>
              <w:tc>
                <w:tcPr>
                  <w:tcW w:w="635" w:type="dxa"/>
                  <w:vMerge w:val="continue"/>
                  <w:tcMar>
                    <w:left w:w="28" w:type="dxa"/>
                    <w:right w:w="28" w:type="dxa"/>
                  </w:tcMar>
                  <w:vAlign w:val="center"/>
                </w:tcPr>
                <w:p>
                  <w:pPr>
                    <w:jc w:val="center"/>
                    <w:rPr>
                      <w:color w:val="auto"/>
                      <w:sz w:val="18"/>
                      <w:szCs w:val="18"/>
                    </w:rPr>
                  </w:pPr>
                </w:p>
              </w:tc>
              <w:tc>
                <w:tcPr>
                  <w:tcW w:w="1040" w:type="dxa"/>
                  <w:tcMar>
                    <w:left w:w="28" w:type="dxa"/>
                    <w:right w:w="28" w:type="dxa"/>
                  </w:tcMar>
                  <w:vAlign w:val="center"/>
                </w:tcPr>
                <w:p>
                  <w:pPr>
                    <w:jc w:val="center"/>
                    <w:rPr>
                      <w:color w:val="auto"/>
                      <w:sz w:val="18"/>
                      <w:szCs w:val="18"/>
                    </w:rPr>
                  </w:pPr>
                  <w:r>
                    <w:rPr>
                      <w:rFonts w:hint="eastAsia"/>
                      <w:color w:val="auto"/>
                      <w:sz w:val="18"/>
                      <w:szCs w:val="18"/>
                    </w:rPr>
                    <w:t>（Nm</w:t>
                  </w:r>
                  <w:r>
                    <w:rPr>
                      <w:rFonts w:hint="eastAsia"/>
                      <w:color w:val="auto"/>
                      <w:sz w:val="18"/>
                      <w:szCs w:val="18"/>
                      <w:vertAlign w:val="superscript"/>
                    </w:rPr>
                    <w:t>3</w:t>
                  </w:r>
                  <w:r>
                    <w:rPr>
                      <w:rFonts w:hint="eastAsia"/>
                      <w:color w:val="auto"/>
                      <w:sz w:val="18"/>
                      <w:szCs w:val="18"/>
                    </w:rPr>
                    <w:t>/h）</w:t>
                  </w:r>
                </w:p>
              </w:tc>
              <w:tc>
                <w:tcPr>
                  <w:tcW w:w="744" w:type="dxa"/>
                  <w:vMerge w:val="continue"/>
                  <w:tcMar>
                    <w:left w:w="28" w:type="dxa"/>
                    <w:right w:w="28" w:type="dxa"/>
                  </w:tcMar>
                  <w:vAlign w:val="center"/>
                </w:tcPr>
                <w:p>
                  <w:pPr>
                    <w:jc w:val="center"/>
                    <w:rPr>
                      <w:color w:val="auto"/>
                      <w:sz w:val="18"/>
                      <w:szCs w:val="18"/>
                    </w:rPr>
                  </w:pPr>
                </w:p>
              </w:tc>
              <w:tc>
                <w:tcPr>
                  <w:tcW w:w="781" w:type="dxa"/>
                  <w:tcMar>
                    <w:left w:w="28" w:type="dxa"/>
                    <w:right w:w="28" w:type="dxa"/>
                  </w:tcMar>
                  <w:vAlign w:val="center"/>
                </w:tcPr>
                <w:p>
                  <w:pPr>
                    <w:jc w:val="center"/>
                    <w:rPr>
                      <w:color w:val="auto"/>
                      <w:sz w:val="18"/>
                      <w:szCs w:val="18"/>
                    </w:rPr>
                  </w:pPr>
                  <w:r>
                    <w:rPr>
                      <w:rFonts w:hint="eastAsia"/>
                      <w:color w:val="auto"/>
                      <w:sz w:val="18"/>
                      <w:szCs w:val="18"/>
                    </w:rPr>
                    <w:t>（kg/h）</w:t>
                  </w:r>
                </w:p>
              </w:tc>
              <w:tc>
                <w:tcPr>
                  <w:tcW w:w="897" w:type="dxa"/>
                  <w:tcMar>
                    <w:left w:w="28" w:type="dxa"/>
                    <w:right w:w="28" w:type="dxa"/>
                  </w:tcMar>
                  <w:vAlign w:val="center"/>
                </w:tcPr>
                <w:p>
                  <w:pPr>
                    <w:jc w:val="center"/>
                    <w:rPr>
                      <w:color w:val="auto"/>
                      <w:sz w:val="18"/>
                      <w:szCs w:val="18"/>
                    </w:rPr>
                  </w:pPr>
                  <w:r>
                    <w:rPr>
                      <w:rFonts w:hint="eastAsia"/>
                      <w:color w:val="auto"/>
                      <w:sz w:val="18"/>
                      <w:szCs w:val="18"/>
                    </w:rPr>
                    <w:t>（mg/m</w:t>
                  </w:r>
                  <w:r>
                    <w:rPr>
                      <w:rFonts w:hint="eastAsia"/>
                      <w:color w:val="auto"/>
                      <w:sz w:val="18"/>
                      <w:szCs w:val="18"/>
                      <w:vertAlign w:val="superscript"/>
                    </w:rPr>
                    <w:t>3</w:t>
                  </w:r>
                  <w:r>
                    <w:rPr>
                      <w:rFonts w:hint="eastAsia"/>
                      <w:color w:val="auto"/>
                      <w:sz w:val="18"/>
                      <w:szCs w:val="18"/>
                    </w:rPr>
                    <w:t>）</w:t>
                  </w:r>
                </w:p>
              </w:tc>
              <w:tc>
                <w:tcPr>
                  <w:tcW w:w="926" w:type="dxa"/>
                  <w:vMerge w:val="continue"/>
                  <w:tcMar>
                    <w:left w:w="28" w:type="dxa"/>
                    <w:right w:w="28" w:type="dxa"/>
                  </w:tcMar>
                  <w:vAlign w:val="center"/>
                </w:tcPr>
                <w:p>
                  <w:pPr>
                    <w:jc w:val="center"/>
                    <w:rPr>
                      <w:color w:val="auto"/>
                      <w:sz w:val="18"/>
                      <w:szCs w:val="18"/>
                    </w:rPr>
                  </w:pPr>
                </w:p>
              </w:tc>
              <w:tc>
                <w:tcPr>
                  <w:tcW w:w="781" w:type="dxa"/>
                  <w:tcMar>
                    <w:left w:w="28" w:type="dxa"/>
                    <w:right w:w="28" w:type="dxa"/>
                  </w:tcMar>
                  <w:vAlign w:val="center"/>
                </w:tcPr>
                <w:p>
                  <w:pPr>
                    <w:jc w:val="center"/>
                    <w:rPr>
                      <w:color w:val="auto"/>
                      <w:sz w:val="18"/>
                      <w:szCs w:val="18"/>
                    </w:rPr>
                  </w:pPr>
                  <w:r>
                    <w:rPr>
                      <w:rFonts w:hint="eastAsia"/>
                      <w:color w:val="auto"/>
                      <w:sz w:val="18"/>
                      <w:szCs w:val="18"/>
                    </w:rPr>
                    <w:t>（kg/h）</w:t>
                  </w:r>
                </w:p>
              </w:tc>
              <w:tc>
                <w:tcPr>
                  <w:tcW w:w="941" w:type="dxa"/>
                  <w:tcMar>
                    <w:left w:w="28" w:type="dxa"/>
                    <w:right w:w="28" w:type="dxa"/>
                  </w:tcMar>
                  <w:vAlign w:val="center"/>
                </w:tcPr>
                <w:p>
                  <w:pPr>
                    <w:jc w:val="center"/>
                    <w:rPr>
                      <w:color w:val="auto"/>
                      <w:sz w:val="18"/>
                      <w:szCs w:val="18"/>
                    </w:rPr>
                  </w:pPr>
                  <w:r>
                    <w:rPr>
                      <w:rFonts w:hint="eastAsia"/>
                      <w:color w:val="auto"/>
                      <w:sz w:val="18"/>
                      <w:szCs w:val="18"/>
                    </w:rPr>
                    <w:t>（mg/m</w:t>
                  </w:r>
                  <w:r>
                    <w:rPr>
                      <w:rFonts w:hint="eastAsia"/>
                      <w:color w:val="auto"/>
                      <w:sz w:val="18"/>
                      <w:szCs w:val="18"/>
                      <w:vertAlign w:val="superscript"/>
                    </w:rPr>
                    <w:t>3</w:t>
                  </w:r>
                  <w:r>
                    <w:rPr>
                      <w:rFonts w:hint="eastAsia"/>
                      <w:color w:val="auto"/>
                      <w:sz w:val="18"/>
                      <w:szCs w:val="18"/>
                    </w:rPr>
                    <w:t>）</w:t>
                  </w:r>
                </w:p>
              </w:tc>
              <w:tc>
                <w:tcPr>
                  <w:tcW w:w="601" w:type="dxa"/>
                  <w:tcMar>
                    <w:left w:w="28" w:type="dxa"/>
                    <w:right w:w="28" w:type="dxa"/>
                  </w:tcMar>
                  <w:vAlign w:val="center"/>
                </w:tcPr>
                <w:p>
                  <w:pPr>
                    <w:jc w:val="center"/>
                    <w:rPr>
                      <w:color w:val="auto"/>
                      <w:sz w:val="18"/>
                      <w:szCs w:val="18"/>
                    </w:rPr>
                  </w:pPr>
                  <w:r>
                    <w:rPr>
                      <w:rFonts w:hint="eastAsia"/>
                      <w:color w:val="auto"/>
                      <w:sz w:val="18"/>
                      <w:szCs w:val="18"/>
                    </w:rPr>
                    <w:t>高度（m）</w:t>
                  </w:r>
                </w:p>
              </w:tc>
              <w:tc>
                <w:tcPr>
                  <w:tcW w:w="601" w:type="dxa"/>
                  <w:tcMar>
                    <w:left w:w="28" w:type="dxa"/>
                    <w:right w:w="28" w:type="dxa"/>
                  </w:tcMar>
                  <w:vAlign w:val="center"/>
                </w:tcPr>
                <w:p>
                  <w:pPr>
                    <w:jc w:val="center"/>
                    <w:rPr>
                      <w:color w:val="auto"/>
                      <w:sz w:val="18"/>
                      <w:szCs w:val="18"/>
                    </w:rPr>
                  </w:pPr>
                  <w:r>
                    <w:rPr>
                      <w:rFonts w:hint="eastAsia"/>
                      <w:color w:val="auto"/>
                      <w:sz w:val="18"/>
                      <w:szCs w:val="18"/>
                    </w:rPr>
                    <w:t>内径（m）</w:t>
                  </w:r>
                </w:p>
              </w:tc>
              <w:tc>
                <w:tcPr>
                  <w:tcW w:w="640" w:type="dxa"/>
                  <w:tcMar>
                    <w:left w:w="28" w:type="dxa"/>
                    <w:right w:w="28" w:type="dxa"/>
                  </w:tcMar>
                  <w:vAlign w:val="center"/>
                </w:tcPr>
                <w:p>
                  <w:pPr>
                    <w:jc w:val="center"/>
                    <w:rPr>
                      <w:color w:val="auto"/>
                      <w:sz w:val="18"/>
                      <w:szCs w:val="18"/>
                    </w:rPr>
                  </w:pPr>
                  <w:r>
                    <w:rPr>
                      <w:rFonts w:hint="eastAsia"/>
                      <w:color w:val="auto"/>
                      <w:sz w:val="18"/>
                      <w:szCs w:val="18"/>
                    </w:rP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4" w:type="dxa"/>
                  <w:vMerge w:val="restart"/>
                  <w:tcMar>
                    <w:left w:w="28" w:type="dxa"/>
                    <w:right w:w="28" w:type="dxa"/>
                  </w:tcMar>
                  <w:vAlign w:val="center"/>
                </w:tcPr>
                <w:p>
                  <w:pPr>
                    <w:jc w:val="center"/>
                    <w:rPr>
                      <w:color w:val="auto"/>
                      <w:sz w:val="18"/>
                      <w:szCs w:val="18"/>
                    </w:rPr>
                  </w:pPr>
                  <w:r>
                    <w:rPr>
                      <w:rFonts w:hint="eastAsia"/>
                      <w:color w:val="auto"/>
                      <w:sz w:val="18"/>
                      <w:szCs w:val="18"/>
                    </w:rPr>
                    <w:t>1#烟囱</w:t>
                  </w:r>
                </w:p>
              </w:tc>
              <w:tc>
                <w:tcPr>
                  <w:tcW w:w="635" w:type="dxa"/>
                  <w:vMerge w:val="restart"/>
                  <w:tcMar>
                    <w:left w:w="28" w:type="dxa"/>
                    <w:right w:w="28" w:type="dxa"/>
                  </w:tcMar>
                  <w:vAlign w:val="center"/>
                </w:tcPr>
                <w:p>
                  <w:pPr>
                    <w:jc w:val="center"/>
                    <w:rPr>
                      <w:color w:val="auto"/>
                      <w:sz w:val="18"/>
                      <w:szCs w:val="18"/>
                    </w:rPr>
                  </w:pPr>
                  <w:r>
                    <w:rPr>
                      <w:rFonts w:hint="eastAsia"/>
                      <w:color w:val="auto"/>
                      <w:sz w:val="18"/>
                      <w:szCs w:val="18"/>
                    </w:rPr>
                    <w:t>1#、2#炉</w:t>
                  </w:r>
                </w:p>
              </w:tc>
              <w:tc>
                <w:tcPr>
                  <w:tcW w:w="1040" w:type="dxa"/>
                  <w:vMerge w:val="restart"/>
                  <w:tcMar>
                    <w:left w:w="28" w:type="dxa"/>
                    <w:right w:w="28" w:type="dxa"/>
                  </w:tcMar>
                  <w:vAlign w:val="center"/>
                </w:tcPr>
                <w:p>
                  <w:pPr>
                    <w:jc w:val="center"/>
                    <w:rPr>
                      <w:color w:val="auto"/>
                      <w:sz w:val="18"/>
                      <w:szCs w:val="18"/>
                    </w:rPr>
                  </w:pPr>
                  <w:r>
                    <w:rPr>
                      <w:rFonts w:hint="eastAsia"/>
                      <w:color w:val="auto"/>
                      <w:sz w:val="18"/>
                      <w:szCs w:val="18"/>
                    </w:rPr>
                    <w:t>311192</w:t>
                  </w:r>
                </w:p>
              </w:tc>
              <w:tc>
                <w:tcPr>
                  <w:tcW w:w="744" w:type="dxa"/>
                  <w:tcMar>
                    <w:left w:w="28" w:type="dxa"/>
                    <w:right w:w="28" w:type="dxa"/>
                  </w:tcMar>
                  <w:vAlign w:val="center"/>
                </w:tcPr>
                <w:p>
                  <w:pPr>
                    <w:jc w:val="center"/>
                    <w:rPr>
                      <w:color w:val="auto"/>
                      <w:sz w:val="18"/>
                      <w:szCs w:val="18"/>
                    </w:rPr>
                  </w:pPr>
                  <w:r>
                    <w:rPr>
                      <w:rFonts w:hint="eastAsia"/>
                      <w:color w:val="auto"/>
                      <w:sz w:val="18"/>
                      <w:szCs w:val="18"/>
                    </w:rPr>
                    <w:t>颗粒物</w:t>
                  </w:r>
                </w:p>
              </w:tc>
              <w:tc>
                <w:tcPr>
                  <w:tcW w:w="781" w:type="dxa"/>
                  <w:tcMar>
                    <w:left w:w="28" w:type="dxa"/>
                    <w:right w:w="28" w:type="dxa"/>
                  </w:tcMar>
                  <w:vAlign w:val="center"/>
                </w:tcPr>
                <w:p>
                  <w:pPr>
                    <w:jc w:val="center"/>
                    <w:rPr>
                      <w:color w:val="auto"/>
                      <w:sz w:val="18"/>
                      <w:szCs w:val="18"/>
                    </w:rPr>
                  </w:pPr>
                  <w:r>
                    <w:rPr>
                      <w:rFonts w:hint="eastAsia"/>
                      <w:color w:val="auto"/>
                      <w:sz w:val="18"/>
                      <w:szCs w:val="18"/>
                    </w:rPr>
                    <w:t>41.07</w:t>
                  </w:r>
                </w:p>
              </w:tc>
              <w:tc>
                <w:tcPr>
                  <w:tcW w:w="897" w:type="dxa"/>
                  <w:tcMar>
                    <w:left w:w="28" w:type="dxa"/>
                    <w:right w:w="28" w:type="dxa"/>
                  </w:tcMar>
                  <w:vAlign w:val="center"/>
                </w:tcPr>
                <w:p>
                  <w:pPr>
                    <w:jc w:val="center"/>
                    <w:rPr>
                      <w:color w:val="auto"/>
                      <w:sz w:val="18"/>
                      <w:szCs w:val="18"/>
                    </w:rPr>
                  </w:pPr>
                  <w:r>
                    <w:rPr>
                      <w:rFonts w:hint="eastAsia"/>
                      <w:color w:val="auto"/>
                      <w:sz w:val="18"/>
                      <w:szCs w:val="18"/>
                    </w:rPr>
                    <w:t>134</w:t>
                  </w:r>
                </w:p>
              </w:tc>
              <w:tc>
                <w:tcPr>
                  <w:tcW w:w="926" w:type="dxa"/>
                  <w:vMerge w:val="restart"/>
                  <w:tcMar>
                    <w:left w:w="28" w:type="dxa"/>
                    <w:right w:w="28" w:type="dxa"/>
                  </w:tcMar>
                  <w:vAlign w:val="center"/>
                </w:tcPr>
                <w:p>
                  <w:pPr>
                    <w:jc w:val="center"/>
                    <w:rPr>
                      <w:color w:val="auto"/>
                      <w:sz w:val="18"/>
                      <w:szCs w:val="18"/>
                    </w:rPr>
                  </w:pPr>
                  <w:r>
                    <w:rPr>
                      <w:rFonts w:hint="eastAsia"/>
                      <w:color w:val="auto"/>
                      <w:sz w:val="18"/>
                      <w:szCs w:val="18"/>
                    </w:rPr>
                    <w:t>低氮燃烧+氨法脱硫+袋式除尘器</w:t>
                  </w:r>
                </w:p>
              </w:tc>
              <w:tc>
                <w:tcPr>
                  <w:tcW w:w="781" w:type="dxa"/>
                  <w:tcMar>
                    <w:left w:w="28" w:type="dxa"/>
                    <w:right w:w="28" w:type="dxa"/>
                  </w:tcMar>
                  <w:vAlign w:val="center"/>
                </w:tcPr>
                <w:p>
                  <w:pPr>
                    <w:jc w:val="center"/>
                    <w:rPr>
                      <w:color w:val="auto"/>
                      <w:sz w:val="18"/>
                      <w:szCs w:val="18"/>
                    </w:rPr>
                  </w:pPr>
                  <w:r>
                    <w:rPr>
                      <w:rFonts w:hint="eastAsia"/>
                      <w:color w:val="auto"/>
                      <w:sz w:val="18"/>
                      <w:szCs w:val="18"/>
                    </w:rPr>
                    <w:t>0.42</w:t>
                  </w:r>
                </w:p>
              </w:tc>
              <w:tc>
                <w:tcPr>
                  <w:tcW w:w="941" w:type="dxa"/>
                  <w:tcMar>
                    <w:left w:w="28" w:type="dxa"/>
                    <w:right w:w="28" w:type="dxa"/>
                  </w:tcMar>
                  <w:vAlign w:val="center"/>
                </w:tcPr>
                <w:p>
                  <w:pPr>
                    <w:jc w:val="center"/>
                    <w:rPr>
                      <w:color w:val="auto"/>
                      <w:sz w:val="18"/>
                      <w:szCs w:val="18"/>
                    </w:rPr>
                  </w:pPr>
                  <w:r>
                    <w:rPr>
                      <w:rFonts w:hint="eastAsia"/>
                      <w:color w:val="auto"/>
                      <w:sz w:val="18"/>
                      <w:szCs w:val="18"/>
                    </w:rPr>
                    <w:t>1.34</w:t>
                  </w:r>
                </w:p>
              </w:tc>
              <w:tc>
                <w:tcPr>
                  <w:tcW w:w="601" w:type="dxa"/>
                  <w:vMerge w:val="restart"/>
                  <w:tcMar>
                    <w:left w:w="28" w:type="dxa"/>
                    <w:right w:w="28" w:type="dxa"/>
                  </w:tcMar>
                  <w:vAlign w:val="center"/>
                </w:tcPr>
                <w:p>
                  <w:pPr>
                    <w:jc w:val="center"/>
                    <w:rPr>
                      <w:color w:val="auto"/>
                      <w:sz w:val="18"/>
                      <w:szCs w:val="18"/>
                    </w:rPr>
                  </w:pPr>
                  <w:r>
                    <w:rPr>
                      <w:rFonts w:hint="eastAsia"/>
                      <w:color w:val="auto"/>
                      <w:sz w:val="18"/>
                      <w:szCs w:val="18"/>
                    </w:rPr>
                    <w:t>80</w:t>
                  </w:r>
                </w:p>
              </w:tc>
              <w:tc>
                <w:tcPr>
                  <w:tcW w:w="601" w:type="dxa"/>
                  <w:vMerge w:val="restart"/>
                  <w:tcMar>
                    <w:left w:w="28" w:type="dxa"/>
                    <w:right w:w="28" w:type="dxa"/>
                  </w:tcMar>
                  <w:vAlign w:val="center"/>
                </w:tcPr>
                <w:p>
                  <w:pPr>
                    <w:jc w:val="center"/>
                    <w:rPr>
                      <w:color w:val="auto"/>
                      <w:sz w:val="18"/>
                      <w:szCs w:val="18"/>
                    </w:rPr>
                  </w:pPr>
                  <w:r>
                    <w:rPr>
                      <w:rFonts w:hint="eastAsia"/>
                      <w:color w:val="auto"/>
                      <w:sz w:val="18"/>
                      <w:szCs w:val="18"/>
                    </w:rPr>
                    <w:t>3.0</w:t>
                  </w:r>
                </w:p>
              </w:tc>
              <w:tc>
                <w:tcPr>
                  <w:tcW w:w="640" w:type="dxa"/>
                  <w:vMerge w:val="restart"/>
                  <w:tcMar>
                    <w:left w:w="28" w:type="dxa"/>
                    <w:right w:w="28" w:type="dxa"/>
                  </w:tcMar>
                  <w:vAlign w:val="center"/>
                </w:tcPr>
                <w:p>
                  <w:pPr>
                    <w:jc w:val="center"/>
                    <w:rPr>
                      <w:color w:val="auto"/>
                      <w:sz w:val="18"/>
                      <w:szCs w:val="18"/>
                    </w:rPr>
                  </w:pPr>
                  <w:r>
                    <w:rPr>
                      <w:rFonts w:hint="eastAsia"/>
                      <w:color w:val="auto"/>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4" w:type="dxa"/>
                  <w:vMerge w:val="continue"/>
                  <w:tcMar>
                    <w:left w:w="28" w:type="dxa"/>
                    <w:right w:w="28" w:type="dxa"/>
                  </w:tcMar>
                  <w:vAlign w:val="center"/>
                </w:tcPr>
                <w:p>
                  <w:pPr>
                    <w:jc w:val="center"/>
                    <w:rPr>
                      <w:color w:val="auto"/>
                      <w:sz w:val="18"/>
                      <w:szCs w:val="18"/>
                    </w:rPr>
                  </w:pPr>
                </w:p>
              </w:tc>
              <w:tc>
                <w:tcPr>
                  <w:tcW w:w="635" w:type="dxa"/>
                  <w:vMerge w:val="continue"/>
                  <w:tcMar>
                    <w:left w:w="28" w:type="dxa"/>
                    <w:right w:w="28" w:type="dxa"/>
                  </w:tcMar>
                  <w:vAlign w:val="center"/>
                </w:tcPr>
                <w:p>
                  <w:pPr>
                    <w:jc w:val="center"/>
                    <w:rPr>
                      <w:color w:val="auto"/>
                      <w:sz w:val="18"/>
                      <w:szCs w:val="18"/>
                    </w:rPr>
                  </w:pPr>
                </w:p>
              </w:tc>
              <w:tc>
                <w:tcPr>
                  <w:tcW w:w="1040" w:type="dxa"/>
                  <w:vMerge w:val="continue"/>
                  <w:tcMar>
                    <w:left w:w="28" w:type="dxa"/>
                    <w:right w:w="28" w:type="dxa"/>
                  </w:tcMar>
                  <w:vAlign w:val="center"/>
                </w:tcPr>
                <w:p>
                  <w:pPr>
                    <w:jc w:val="center"/>
                    <w:rPr>
                      <w:color w:val="auto"/>
                      <w:sz w:val="18"/>
                      <w:szCs w:val="18"/>
                    </w:rPr>
                  </w:pPr>
                </w:p>
              </w:tc>
              <w:tc>
                <w:tcPr>
                  <w:tcW w:w="744" w:type="dxa"/>
                  <w:tcMar>
                    <w:left w:w="28" w:type="dxa"/>
                    <w:right w:w="28" w:type="dxa"/>
                  </w:tcMar>
                  <w:vAlign w:val="center"/>
                </w:tcPr>
                <w:p>
                  <w:pPr>
                    <w:jc w:val="center"/>
                    <w:rPr>
                      <w:color w:val="auto"/>
                      <w:sz w:val="18"/>
                      <w:szCs w:val="18"/>
                    </w:rPr>
                  </w:pPr>
                  <w:r>
                    <w:rPr>
                      <w:rFonts w:hint="eastAsia"/>
                      <w:color w:val="auto"/>
                      <w:sz w:val="18"/>
                      <w:szCs w:val="18"/>
                    </w:rPr>
                    <w:t>SO</w:t>
                  </w:r>
                  <w:r>
                    <w:rPr>
                      <w:rFonts w:hint="eastAsia"/>
                      <w:color w:val="auto"/>
                      <w:sz w:val="18"/>
                      <w:szCs w:val="18"/>
                      <w:vertAlign w:val="subscript"/>
                    </w:rPr>
                    <w:t>2</w:t>
                  </w:r>
                </w:p>
              </w:tc>
              <w:tc>
                <w:tcPr>
                  <w:tcW w:w="781" w:type="dxa"/>
                  <w:tcMar>
                    <w:left w:w="28" w:type="dxa"/>
                    <w:right w:w="28" w:type="dxa"/>
                  </w:tcMar>
                  <w:vAlign w:val="center"/>
                </w:tcPr>
                <w:p>
                  <w:pPr>
                    <w:jc w:val="center"/>
                    <w:rPr>
                      <w:color w:val="auto"/>
                      <w:sz w:val="18"/>
                      <w:szCs w:val="18"/>
                    </w:rPr>
                  </w:pPr>
                  <w:r>
                    <w:rPr>
                      <w:rFonts w:hint="eastAsia"/>
                      <w:color w:val="auto"/>
                      <w:sz w:val="18"/>
                      <w:szCs w:val="18"/>
                    </w:rPr>
                    <w:t>25.05</w:t>
                  </w:r>
                </w:p>
              </w:tc>
              <w:tc>
                <w:tcPr>
                  <w:tcW w:w="897" w:type="dxa"/>
                  <w:tcMar>
                    <w:left w:w="28" w:type="dxa"/>
                    <w:right w:w="28" w:type="dxa"/>
                  </w:tcMar>
                  <w:vAlign w:val="center"/>
                </w:tcPr>
                <w:p>
                  <w:pPr>
                    <w:jc w:val="center"/>
                    <w:rPr>
                      <w:color w:val="auto"/>
                      <w:sz w:val="18"/>
                      <w:szCs w:val="18"/>
                    </w:rPr>
                  </w:pPr>
                  <w:r>
                    <w:rPr>
                      <w:rFonts w:hint="eastAsia"/>
                      <w:color w:val="auto"/>
                      <w:sz w:val="18"/>
                      <w:szCs w:val="18"/>
                    </w:rPr>
                    <w:t>80.5</w:t>
                  </w:r>
                </w:p>
              </w:tc>
              <w:tc>
                <w:tcPr>
                  <w:tcW w:w="926" w:type="dxa"/>
                  <w:vMerge w:val="continue"/>
                  <w:tcMar>
                    <w:left w:w="28" w:type="dxa"/>
                    <w:right w:w="28" w:type="dxa"/>
                  </w:tcMar>
                  <w:vAlign w:val="center"/>
                </w:tcPr>
                <w:p>
                  <w:pPr>
                    <w:jc w:val="center"/>
                    <w:rPr>
                      <w:color w:val="auto"/>
                      <w:sz w:val="18"/>
                      <w:szCs w:val="18"/>
                    </w:rPr>
                  </w:pPr>
                </w:p>
              </w:tc>
              <w:tc>
                <w:tcPr>
                  <w:tcW w:w="781" w:type="dxa"/>
                  <w:tcMar>
                    <w:left w:w="28" w:type="dxa"/>
                    <w:right w:w="28" w:type="dxa"/>
                  </w:tcMar>
                  <w:vAlign w:val="center"/>
                </w:tcPr>
                <w:p>
                  <w:pPr>
                    <w:jc w:val="center"/>
                    <w:rPr>
                      <w:color w:val="auto"/>
                      <w:sz w:val="18"/>
                      <w:szCs w:val="18"/>
                    </w:rPr>
                  </w:pPr>
                  <w:r>
                    <w:rPr>
                      <w:rFonts w:hint="eastAsia"/>
                      <w:color w:val="auto"/>
                      <w:sz w:val="18"/>
                      <w:szCs w:val="18"/>
                    </w:rPr>
                    <w:t>5.01</w:t>
                  </w:r>
                </w:p>
              </w:tc>
              <w:tc>
                <w:tcPr>
                  <w:tcW w:w="941" w:type="dxa"/>
                  <w:tcMar>
                    <w:left w:w="28" w:type="dxa"/>
                    <w:right w:w="28" w:type="dxa"/>
                  </w:tcMar>
                  <w:vAlign w:val="center"/>
                </w:tcPr>
                <w:p>
                  <w:pPr>
                    <w:jc w:val="center"/>
                    <w:rPr>
                      <w:color w:val="auto"/>
                      <w:sz w:val="18"/>
                      <w:szCs w:val="18"/>
                    </w:rPr>
                  </w:pPr>
                  <w:r>
                    <w:rPr>
                      <w:rFonts w:hint="eastAsia"/>
                      <w:color w:val="auto"/>
                      <w:sz w:val="18"/>
                      <w:szCs w:val="18"/>
                    </w:rPr>
                    <w:t>16.1</w:t>
                  </w:r>
                </w:p>
              </w:tc>
              <w:tc>
                <w:tcPr>
                  <w:tcW w:w="601" w:type="dxa"/>
                  <w:vMerge w:val="continue"/>
                  <w:tcMar>
                    <w:left w:w="28" w:type="dxa"/>
                    <w:right w:w="28" w:type="dxa"/>
                  </w:tcMar>
                  <w:vAlign w:val="center"/>
                </w:tcPr>
                <w:p>
                  <w:pPr>
                    <w:jc w:val="center"/>
                    <w:rPr>
                      <w:color w:val="auto"/>
                      <w:sz w:val="18"/>
                      <w:szCs w:val="18"/>
                    </w:rPr>
                  </w:pPr>
                </w:p>
              </w:tc>
              <w:tc>
                <w:tcPr>
                  <w:tcW w:w="601" w:type="dxa"/>
                  <w:vMerge w:val="continue"/>
                  <w:tcMar>
                    <w:left w:w="28" w:type="dxa"/>
                    <w:right w:w="28" w:type="dxa"/>
                  </w:tcMar>
                  <w:vAlign w:val="center"/>
                </w:tcPr>
                <w:p>
                  <w:pPr>
                    <w:jc w:val="center"/>
                    <w:rPr>
                      <w:color w:val="auto"/>
                      <w:sz w:val="18"/>
                      <w:szCs w:val="18"/>
                    </w:rPr>
                  </w:pPr>
                </w:p>
              </w:tc>
              <w:tc>
                <w:tcPr>
                  <w:tcW w:w="640" w:type="dxa"/>
                  <w:vMerge w:val="continue"/>
                  <w:tcMar>
                    <w:left w:w="28" w:type="dxa"/>
                    <w:right w:w="28" w:type="dxa"/>
                  </w:tcMar>
                  <w:vAlign w:val="center"/>
                </w:tcPr>
                <w:p>
                  <w:pPr>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4" w:type="dxa"/>
                  <w:vMerge w:val="continue"/>
                  <w:tcMar>
                    <w:left w:w="28" w:type="dxa"/>
                    <w:right w:w="28" w:type="dxa"/>
                  </w:tcMar>
                  <w:vAlign w:val="center"/>
                </w:tcPr>
                <w:p>
                  <w:pPr>
                    <w:jc w:val="center"/>
                    <w:rPr>
                      <w:color w:val="auto"/>
                      <w:sz w:val="18"/>
                      <w:szCs w:val="18"/>
                    </w:rPr>
                  </w:pPr>
                </w:p>
              </w:tc>
              <w:tc>
                <w:tcPr>
                  <w:tcW w:w="635" w:type="dxa"/>
                  <w:vMerge w:val="continue"/>
                  <w:tcMar>
                    <w:left w:w="28" w:type="dxa"/>
                    <w:right w:w="28" w:type="dxa"/>
                  </w:tcMar>
                  <w:vAlign w:val="center"/>
                </w:tcPr>
                <w:p>
                  <w:pPr>
                    <w:jc w:val="center"/>
                    <w:rPr>
                      <w:color w:val="auto"/>
                      <w:sz w:val="18"/>
                      <w:szCs w:val="18"/>
                    </w:rPr>
                  </w:pPr>
                </w:p>
              </w:tc>
              <w:tc>
                <w:tcPr>
                  <w:tcW w:w="1040" w:type="dxa"/>
                  <w:vMerge w:val="continue"/>
                  <w:tcMar>
                    <w:left w:w="28" w:type="dxa"/>
                    <w:right w:w="28" w:type="dxa"/>
                  </w:tcMar>
                  <w:vAlign w:val="center"/>
                </w:tcPr>
                <w:p>
                  <w:pPr>
                    <w:jc w:val="center"/>
                    <w:rPr>
                      <w:color w:val="auto"/>
                      <w:sz w:val="18"/>
                      <w:szCs w:val="18"/>
                    </w:rPr>
                  </w:pPr>
                </w:p>
              </w:tc>
              <w:tc>
                <w:tcPr>
                  <w:tcW w:w="744" w:type="dxa"/>
                  <w:tcMar>
                    <w:left w:w="28" w:type="dxa"/>
                    <w:right w:w="28" w:type="dxa"/>
                  </w:tcMar>
                  <w:vAlign w:val="center"/>
                </w:tcPr>
                <w:p>
                  <w:pPr>
                    <w:jc w:val="center"/>
                    <w:rPr>
                      <w:color w:val="auto"/>
                      <w:sz w:val="18"/>
                      <w:szCs w:val="18"/>
                    </w:rPr>
                  </w:pPr>
                  <w:r>
                    <w:rPr>
                      <w:rFonts w:hint="eastAsia"/>
                      <w:color w:val="auto"/>
                      <w:sz w:val="18"/>
                      <w:szCs w:val="18"/>
                    </w:rPr>
                    <w:t>NO</w:t>
                  </w:r>
                  <w:r>
                    <w:rPr>
                      <w:rFonts w:hint="eastAsia"/>
                      <w:color w:val="auto"/>
                      <w:sz w:val="18"/>
                      <w:szCs w:val="18"/>
                      <w:vertAlign w:val="subscript"/>
                    </w:rPr>
                    <w:t>X</w:t>
                  </w:r>
                </w:p>
              </w:tc>
              <w:tc>
                <w:tcPr>
                  <w:tcW w:w="781" w:type="dxa"/>
                  <w:tcMar>
                    <w:left w:w="28" w:type="dxa"/>
                    <w:right w:w="28" w:type="dxa"/>
                  </w:tcMar>
                  <w:vAlign w:val="center"/>
                </w:tcPr>
                <w:p>
                  <w:pPr>
                    <w:jc w:val="center"/>
                    <w:rPr>
                      <w:color w:val="auto"/>
                      <w:sz w:val="18"/>
                      <w:szCs w:val="18"/>
                    </w:rPr>
                  </w:pPr>
                  <w:r>
                    <w:rPr>
                      <w:rFonts w:hint="eastAsia"/>
                      <w:color w:val="auto"/>
                      <w:sz w:val="18"/>
                      <w:szCs w:val="18"/>
                    </w:rPr>
                    <w:t>22.50</w:t>
                  </w:r>
                </w:p>
              </w:tc>
              <w:tc>
                <w:tcPr>
                  <w:tcW w:w="897" w:type="dxa"/>
                  <w:tcMar>
                    <w:left w:w="28" w:type="dxa"/>
                    <w:right w:w="28" w:type="dxa"/>
                  </w:tcMar>
                  <w:vAlign w:val="center"/>
                </w:tcPr>
                <w:p>
                  <w:pPr>
                    <w:jc w:val="center"/>
                    <w:rPr>
                      <w:color w:val="auto"/>
                      <w:sz w:val="18"/>
                      <w:szCs w:val="18"/>
                    </w:rPr>
                  </w:pPr>
                  <w:r>
                    <w:rPr>
                      <w:rFonts w:hint="eastAsia"/>
                      <w:color w:val="auto"/>
                      <w:sz w:val="18"/>
                      <w:szCs w:val="18"/>
                    </w:rPr>
                    <w:t>72.3</w:t>
                  </w:r>
                </w:p>
              </w:tc>
              <w:tc>
                <w:tcPr>
                  <w:tcW w:w="926" w:type="dxa"/>
                  <w:vMerge w:val="continue"/>
                  <w:tcMar>
                    <w:left w:w="28" w:type="dxa"/>
                    <w:right w:w="28" w:type="dxa"/>
                  </w:tcMar>
                  <w:vAlign w:val="center"/>
                </w:tcPr>
                <w:p>
                  <w:pPr>
                    <w:jc w:val="center"/>
                    <w:rPr>
                      <w:color w:val="auto"/>
                      <w:sz w:val="18"/>
                      <w:szCs w:val="18"/>
                    </w:rPr>
                  </w:pPr>
                </w:p>
              </w:tc>
              <w:tc>
                <w:tcPr>
                  <w:tcW w:w="781" w:type="dxa"/>
                  <w:tcMar>
                    <w:left w:w="28" w:type="dxa"/>
                    <w:right w:w="28" w:type="dxa"/>
                  </w:tcMar>
                  <w:vAlign w:val="center"/>
                </w:tcPr>
                <w:p>
                  <w:pPr>
                    <w:jc w:val="center"/>
                    <w:rPr>
                      <w:color w:val="auto"/>
                      <w:sz w:val="18"/>
                      <w:szCs w:val="18"/>
                    </w:rPr>
                  </w:pPr>
                  <w:r>
                    <w:rPr>
                      <w:rFonts w:hint="eastAsia"/>
                      <w:color w:val="auto"/>
                      <w:sz w:val="18"/>
                      <w:szCs w:val="18"/>
                    </w:rPr>
                    <w:t>22.50</w:t>
                  </w:r>
                </w:p>
              </w:tc>
              <w:tc>
                <w:tcPr>
                  <w:tcW w:w="941" w:type="dxa"/>
                  <w:tcMar>
                    <w:left w:w="28" w:type="dxa"/>
                    <w:right w:w="28" w:type="dxa"/>
                  </w:tcMar>
                  <w:vAlign w:val="center"/>
                </w:tcPr>
                <w:p>
                  <w:pPr>
                    <w:jc w:val="center"/>
                    <w:rPr>
                      <w:color w:val="auto"/>
                      <w:sz w:val="18"/>
                      <w:szCs w:val="18"/>
                    </w:rPr>
                  </w:pPr>
                  <w:r>
                    <w:rPr>
                      <w:rFonts w:hint="eastAsia"/>
                      <w:color w:val="auto"/>
                      <w:sz w:val="18"/>
                      <w:szCs w:val="18"/>
                    </w:rPr>
                    <w:t>72.3</w:t>
                  </w:r>
                </w:p>
              </w:tc>
              <w:tc>
                <w:tcPr>
                  <w:tcW w:w="601" w:type="dxa"/>
                  <w:vMerge w:val="continue"/>
                  <w:tcMar>
                    <w:left w:w="28" w:type="dxa"/>
                    <w:right w:w="28" w:type="dxa"/>
                  </w:tcMar>
                  <w:vAlign w:val="center"/>
                </w:tcPr>
                <w:p>
                  <w:pPr>
                    <w:jc w:val="center"/>
                    <w:rPr>
                      <w:color w:val="auto"/>
                      <w:sz w:val="18"/>
                      <w:szCs w:val="18"/>
                    </w:rPr>
                  </w:pPr>
                </w:p>
              </w:tc>
              <w:tc>
                <w:tcPr>
                  <w:tcW w:w="601" w:type="dxa"/>
                  <w:vMerge w:val="continue"/>
                  <w:tcMar>
                    <w:left w:w="28" w:type="dxa"/>
                    <w:right w:w="28" w:type="dxa"/>
                  </w:tcMar>
                  <w:vAlign w:val="center"/>
                </w:tcPr>
                <w:p>
                  <w:pPr>
                    <w:jc w:val="center"/>
                    <w:rPr>
                      <w:color w:val="auto"/>
                      <w:sz w:val="18"/>
                      <w:szCs w:val="18"/>
                    </w:rPr>
                  </w:pPr>
                </w:p>
              </w:tc>
              <w:tc>
                <w:tcPr>
                  <w:tcW w:w="640" w:type="dxa"/>
                  <w:vMerge w:val="continue"/>
                  <w:tcMar>
                    <w:left w:w="28" w:type="dxa"/>
                    <w:right w:w="28" w:type="dxa"/>
                  </w:tcMar>
                  <w:vAlign w:val="center"/>
                </w:tcPr>
                <w:p>
                  <w:pPr>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 w:hRule="atLeast"/>
              </w:trPr>
              <w:tc>
                <w:tcPr>
                  <w:tcW w:w="474" w:type="dxa"/>
                  <w:vMerge w:val="continue"/>
                  <w:tcMar>
                    <w:left w:w="28" w:type="dxa"/>
                    <w:right w:w="28" w:type="dxa"/>
                  </w:tcMar>
                  <w:vAlign w:val="center"/>
                </w:tcPr>
                <w:p>
                  <w:pPr>
                    <w:jc w:val="center"/>
                    <w:rPr>
                      <w:color w:val="auto"/>
                      <w:sz w:val="18"/>
                      <w:szCs w:val="18"/>
                    </w:rPr>
                  </w:pPr>
                </w:p>
              </w:tc>
              <w:tc>
                <w:tcPr>
                  <w:tcW w:w="635" w:type="dxa"/>
                  <w:vMerge w:val="continue"/>
                  <w:tcMar>
                    <w:left w:w="28" w:type="dxa"/>
                    <w:right w:w="28" w:type="dxa"/>
                  </w:tcMar>
                  <w:vAlign w:val="center"/>
                </w:tcPr>
                <w:p>
                  <w:pPr>
                    <w:jc w:val="center"/>
                    <w:rPr>
                      <w:color w:val="auto"/>
                      <w:sz w:val="18"/>
                      <w:szCs w:val="18"/>
                    </w:rPr>
                  </w:pPr>
                </w:p>
              </w:tc>
              <w:tc>
                <w:tcPr>
                  <w:tcW w:w="1040" w:type="dxa"/>
                  <w:vMerge w:val="continue"/>
                  <w:tcMar>
                    <w:left w:w="28" w:type="dxa"/>
                    <w:right w:w="28" w:type="dxa"/>
                  </w:tcMar>
                  <w:vAlign w:val="center"/>
                </w:tcPr>
                <w:p>
                  <w:pPr>
                    <w:jc w:val="center"/>
                    <w:rPr>
                      <w:color w:val="auto"/>
                      <w:sz w:val="18"/>
                      <w:szCs w:val="18"/>
                    </w:rPr>
                  </w:pPr>
                </w:p>
              </w:tc>
              <w:tc>
                <w:tcPr>
                  <w:tcW w:w="744" w:type="dxa"/>
                  <w:tcMar>
                    <w:left w:w="28" w:type="dxa"/>
                    <w:right w:w="28" w:type="dxa"/>
                  </w:tcMar>
                  <w:vAlign w:val="center"/>
                </w:tcPr>
                <w:p>
                  <w:pPr>
                    <w:jc w:val="center"/>
                    <w:rPr>
                      <w:color w:val="auto"/>
                      <w:sz w:val="18"/>
                      <w:szCs w:val="18"/>
                    </w:rPr>
                  </w:pPr>
                  <w:r>
                    <w:rPr>
                      <w:rFonts w:hint="eastAsia"/>
                      <w:color w:val="auto"/>
                      <w:sz w:val="18"/>
                      <w:szCs w:val="18"/>
                    </w:rPr>
                    <w:t>NH</w:t>
                  </w:r>
                  <w:r>
                    <w:rPr>
                      <w:rFonts w:hint="eastAsia"/>
                      <w:color w:val="auto"/>
                      <w:sz w:val="18"/>
                      <w:szCs w:val="18"/>
                      <w:vertAlign w:val="subscript"/>
                    </w:rPr>
                    <w:t>3</w:t>
                  </w:r>
                </w:p>
              </w:tc>
              <w:tc>
                <w:tcPr>
                  <w:tcW w:w="781" w:type="dxa"/>
                  <w:tcMar>
                    <w:left w:w="28" w:type="dxa"/>
                    <w:right w:w="28" w:type="dxa"/>
                  </w:tcMar>
                  <w:vAlign w:val="center"/>
                </w:tcPr>
                <w:p>
                  <w:pPr>
                    <w:jc w:val="center"/>
                    <w:rPr>
                      <w:color w:val="auto"/>
                      <w:sz w:val="18"/>
                      <w:szCs w:val="18"/>
                    </w:rPr>
                  </w:pPr>
                  <w:r>
                    <w:rPr>
                      <w:rFonts w:hint="eastAsia"/>
                      <w:color w:val="auto"/>
                      <w:sz w:val="18"/>
                      <w:szCs w:val="18"/>
                    </w:rPr>
                    <w:t>/</w:t>
                  </w:r>
                </w:p>
              </w:tc>
              <w:tc>
                <w:tcPr>
                  <w:tcW w:w="897" w:type="dxa"/>
                  <w:tcMar>
                    <w:left w:w="28" w:type="dxa"/>
                    <w:right w:w="28" w:type="dxa"/>
                  </w:tcMar>
                  <w:vAlign w:val="center"/>
                </w:tcPr>
                <w:p>
                  <w:pPr>
                    <w:jc w:val="center"/>
                    <w:rPr>
                      <w:color w:val="auto"/>
                      <w:sz w:val="18"/>
                      <w:szCs w:val="18"/>
                    </w:rPr>
                  </w:pPr>
                  <w:r>
                    <w:rPr>
                      <w:rFonts w:hint="eastAsia"/>
                      <w:color w:val="auto"/>
                      <w:sz w:val="18"/>
                      <w:szCs w:val="18"/>
                    </w:rPr>
                    <w:t>/</w:t>
                  </w:r>
                </w:p>
              </w:tc>
              <w:tc>
                <w:tcPr>
                  <w:tcW w:w="926" w:type="dxa"/>
                  <w:vMerge w:val="continue"/>
                  <w:tcMar>
                    <w:left w:w="28" w:type="dxa"/>
                    <w:right w:w="28" w:type="dxa"/>
                  </w:tcMar>
                  <w:vAlign w:val="center"/>
                </w:tcPr>
                <w:p>
                  <w:pPr>
                    <w:jc w:val="center"/>
                    <w:rPr>
                      <w:color w:val="auto"/>
                      <w:sz w:val="18"/>
                      <w:szCs w:val="18"/>
                    </w:rPr>
                  </w:pPr>
                </w:p>
              </w:tc>
              <w:tc>
                <w:tcPr>
                  <w:tcW w:w="781" w:type="dxa"/>
                  <w:tcMar>
                    <w:left w:w="28" w:type="dxa"/>
                    <w:right w:w="28" w:type="dxa"/>
                  </w:tcMar>
                  <w:vAlign w:val="center"/>
                </w:tcPr>
                <w:p>
                  <w:pPr>
                    <w:jc w:val="center"/>
                    <w:rPr>
                      <w:color w:val="auto"/>
                      <w:sz w:val="18"/>
                      <w:szCs w:val="18"/>
                    </w:rPr>
                  </w:pPr>
                  <w:r>
                    <w:rPr>
                      <w:rFonts w:hint="eastAsia"/>
                      <w:color w:val="auto"/>
                      <w:sz w:val="18"/>
                      <w:szCs w:val="18"/>
                    </w:rPr>
                    <w:t>0.32</w:t>
                  </w:r>
                </w:p>
              </w:tc>
              <w:tc>
                <w:tcPr>
                  <w:tcW w:w="941" w:type="dxa"/>
                  <w:tcMar>
                    <w:left w:w="28" w:type="dxa"/>
                    <w:right w:w="28" w:type="dxa"/>
                  </w:tcMar>
                  <w:vAlign w:val="center"/>
                </w:tcPr>
                <w:p>
                  <w:pPr>
                    <w:jc w:val="center"/>
                    <w:rPr>
                      <w:color w:val="auto"/>
                      <w:sz w:val="18"/>
                      <w:szCs w:val="18"/>
                    </w:rPr>
                  </w:pPr>
                  <w:r>
                    <w:rPr>
                      <w:rFonts w:hint="eastAsia"/>
                      <w:color w:val="auto"/>
                      <w:sz w:val="18"/>
                      <w:szCs w:val="18"/>
                    </w:rPr>
                    <w:t>1.03</w:t>
                  </w:r>
                </w:p>
              </w:tc>
              <w:tc>
                <w:tcPr>
                  <w:tcW w:w="601" w:type="dxa"/>
                  <w:vMerge w:val="continue"/>
                  <w:tcMar>
                    <w:left w:w="28" w:type="dxa"/>
                    <w:right w:w="28" w:type="dxa"/>
                  </w:tcMar>
                  <w:vAlign w:val="center"/>
                </w:tcPr>
                <w:p>
                  <w:pPr>
                    <w:jc w:val="center"/>
                    <w:rPr>
                      <w:color w:val="auto"/>
                      <w:sz w:val="18"/>
                      <w:szCs w:val="18"/>
                    </w:rPr>
                  </w:pPr>
                </w:p>
              </w:tc>
              <w:tc>
                <w:tcPr>
                  <w:tcW w:w="601" w:type="dxa"/>
                  <w:vMerge w:val="continue"/>
                  <w:tcMar>
                    <w:left w:w="28" w:type="dxa"/>
                    <w:right w:w="28" w:type="dxa"/>
                  </w:tcMar>
                  <w:vAlign w:val="center"/>
                </w:tcPr>
                <w:p>
                  <w:pPr>
                    <w:jc w:val="center"/>
                    <w:rPr>
                      <w:color w:val="auto"/>
                      <w:sz w:val="18"/>
                      <w:szCs w:val="18"/>
                    </w:rPr>
                  </w:pPr>
                </w:p>
              </w:tc>
              <w:tc>
                <w:tcPr>
                  <w:tcW w:w="640" w:type="dxa"/>
                  <w:vMerge w:val="continue"/>
                  <w:tcMar>
                    <w:left w:w="28" w:type="dxa"/>
                    <w:right w:w="28" w:type="dxa"/>
                  </w:tcMar>
                  <w:vAlign w:val="center"/>
                </w:tcPr>
                <w:p>
                  <w:pPr>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 w:hRule="atLeast"/>
              </w:trPr>
              <w:tc>
                <w:tcPr>
                  <w:tcW w:w="474" w:type="dxa"/>
                  <w:vMerge w:val="restart"/>
                  <w:tcMar>
                    <w:left w:w="28" w:type="dxa"/>
                    <w:right w:w="28" w:type="dxa"/>
                  </w:tcMar>
                  <w:vAlign w:val="center"/>
                </w:tcPr>
                <w:p>
                  <w:pPr>
                    <w:jc w:val="center"/>
                    <w:rPr>
                      <w:color w:val="auto"/>
                      <w:sz w:val="18"/>
                      <w:szCs w:val="18"/>
                    </w:rPr>
                  </w:pPr>
                  <w:r>
                    <w:rPr>
                      <w:rFonts w:hint="eastAsia"/>
                      <w:color w:val="auto"/>
                      <w:sz w:val="18"/>
                      <w:szCs w:val="18"/>
                    </w:rPr>
                    <w:t>2#烟囱</w:t>
                  </w:r>
                </w:p>
              </w:tc>
              <w:tc>
                <w:tcPr>
                  <w:tcW w:w="635" w:type="dxa"/>
                  <w:vMerge w:val="restart"/>
                  <w:tcMar>
                    <w:left w:w="28" w:type="dxa"/>
                    <w:right w:w="28" w:type="dxa"/>
                  </w:tcMar>
                  <w:vAlign w:val="center"/>
                </w:tcPr>
                <w:p>
                  <w:pPr>
                    <w:jc w:val="center"/>
                    <w:rPr>
                      <w:color w:val="auto"/>
                      <w:sz w:val="18"/>
                      <w:szCs w:val="18"/>
                    </w:rPr>
                  </w:pPr>
                  <w:r>
                    <w:rPr>
                      <w:rFonts w:hint="eastAsia"/>
                      <w:color w:val="auto"/>
                      <w:sz w:val="18"/>
                      <w:szCs w:val="18"/>
                    </w:rPr>
                    <w:t>3#炉</w:t>
                  </w:r>
                </w:p>
              </w:tc>
              <w:tc>
                <w:tcPr>
                  <w:tcW w:w="1040" w:type="dxa"/>
                  <w:vMerge w:val="restart"/>
                  <w:tcMar>
                    <w:left w:w="28" w:type="dxa"/>
                    <w:right w:w="28" w:type="dxa"/>
                  </w:tcMar>
                  <w:vAlign w:val="center"/>
                </w:tcPr>
                <w:p>
                  <w:pPr>
                    <w:jc w:val="center"/>
                    <w:rPr>
                      <w:color w:val="auto"/>
                      <w:sz w:val="18"/>
                      <w:szCs w:val="18"/>
                    </w:rPr>
                  </w:pPr>
                  <w:r>
                    <w:rPr>
                      <w:rFonts w:hint="eastAsia"/>
                      <w:color w:val="auto"/>
                      <w:sz w:val="18"/>
                      <w:szCs w:val="18"/>
                    </w:rPr>
                    <w:t>232248</w:t>
                  </w:r>
                </w:p>
              </w:tc>
              <w:tc>
                <w:tcPr>
                  <w:tcW w:w="744" w:type="dxa"/>
                  <w:tcMar>
                    <w:left w:w="28" w:type="dxa"/>
                    <w:right w:w="28" w:type="dxa"/>
                  </w:tcMar>
                  <w:vAlign w:val="center"/>
                </w:tcPr>
                <w:p>
                  <w:pPr>
                    <w:jc w:val="center"/>
                    <w:rPr>
                      <w:color w:val="auto"/>
                      <w:sz w:val="18"/>
                      <w:szCs w:val="18"/>
                    </w:rPr>
                  </w:pPr>
                  <w:r>
                    <w:rPr>
                      <w:rFonts w:hint="eastAsia"/>
                      <w:color w:val="auto"/>
                      <w:sz w:val="18"/>
                      <w:szCs w:val="18"/>
                    </w:rPr>
                    <w:t>颗粒物</w:t>
                  </w:r>
                </w:p>
              </w:tc>
              <w:tc>
                <w:tcPr>
                  <w:tcW w:w="781" w:type="dxa"/>
                  <w:tcMar>
                    <w:left w:w="28" w:type="dxa"/>
                    <w:right w:w="28" w:type="dxa"/>
                  </w:tcMar>
                  <w:vAlign w:val="center"/>
                </w:tcPr>
                <w:p>
                  <w:pPr>
                    <w:jc w:val="center"/>
                    <w:rPr>
                      <w:color w:val="auto"/>
                      <w:sz w:val="18"/>
                      <w:szCs w:val="18"/>
                    </w:rPr>
                  </w:pPr>
                  <w:r>
                    <w:rPr>
                      <w:rFonts w:hint="eastAsia"/>
                      <w:color w:val="auto"/>
                      <w:sz w:val="18"/>
                      <w:szCs w:val="18"/>
                    </w:rPr>
                    <w:t>28.57</w:t>
                  </w:r>
                </w:p>
              </w:tc>
              <w:tc>
                <w:tcPr>
                  <w:tcW w:w="897" w:type="dxa"/>
                  <w:tcMar>
                    <w:left w:w="28" w:type="dxa"/>
                    <w:right w:w="28" w:type="dxa"/>
                  </w:tcMar>
                  <w:vAlign w:val="center"/>
                </w:tcPr>
                <w:p>
                  <w:pPr>
                    <w:jc w:val="center"/>
                    <w:rPr>
                      <w:color w:val="auto"/>
                      <w:sz w:val="18"/>
                      <w:szCs w:val="18"/>
                    </w:rPr>
                  </w:pPr>
                  <w:r>
                    <w:rPr>
                      <w:rFonts w:hint="eastAsia"/>
                      <w:color w:val="auto"/>
                      <w:sz w:val="18"/>
                      <w:szCs w:val="18"/>
                    </w:rPr>
                    <w:t>123</w:t>
                  </w:r>
                </w:p>
              </w:tc>
              <w:tc>
                <w:tcPr>
                  <w:tcW w:w="926" w:type="dxa"/>
                  <w:vMerge w:val="restart"/>
                  <w:tcMar>
                    <w:left w:w="28" w:type="dxa"/>
                    <w:right w:w="28" w:type="dxa"/>
                  </w:tcMar>
                  <w:vAlign w:val="center"/>
                </w:tcPr>
                <w:p>
                  <w:pPr>
                    <w:jc w:val="center"/>
                    <w:rPr>
                      <w:color w:val="auto"/>
                      <w:sz w:val="18"/>
                      <w:szCs w:val="18"/>
                    </w:rPr>
                  </w:pPr>
                  <w:r>
                    <w:rPr>
                      <w:rFonts w:hint="eastAsia"/>
                      <w:color w:val="auto"/>
                      <w:sz w:val="18"/>
                      <w:szCs w:val="18"/>
                    </w:rPr>
                    <w:t>低氮燃烧+氨法脱硫+袋式除尘器</w:t>
                  </w:r>
                </w:p>
              </w:tc>
              <w:tc>
                <w:tcPr>
                  <w:tcW w:w="781" w:type="dxa"/>
                  <w:tcMar>
                    <w:left w:w="28" w:type="dxa"/>
                    <w:right w:w="28" w:type="dxa"/>
                  </w:tcMar>
                  <w:vAlign w:val="center"/>
                </w:tcPr>
                <w:p>
                  <w:pPr>
                    <w:jc w:val="center"/>
                    <w:rPr>
                      <w:color w:val="auto"/>
                      <w:sz w:val="18"/>
                      <w:szCs w:val="18"/>
                    </w:rPr>
                  </w:pPr>
                  <w:r>
                    <w:rPr>
                      <w:rFonts w:hint="eastAsia"/>
                      <w:color w:val="auto"/>
                      <w:sz w:val="18"/>
                      <w:szCs w:val="18"/>
                    </w:rPr>
                    <w:t>0.29</w:t>
                  </w:r>
                </w:p>
              </w:tc>
              <w:tc>
                <w:tcPr>
                  <w:tcW w:w="941" w:type="dxa"/>
                  <w:tcMar>
                    <w:left w:w="28" w:type="dxa"/>
                    <w:right w:w="28" w:type="dxa"/>
                  </w:tcMar>
                  <w:vAlign w:val="center"/>
                </w:tcPr>
                <w:p>
                  <w:pPr>
                    <w:jc w:val="center"/>
                    <w:rPr>
                      <w:color w:val="auto"/>
                      <w:sz w:val="18"/>
                      <w:szCs w:val="18"/>
                    </w:rPr>
                  </w:pPr>
                  <w:r>
                    <w:rPr>
                      <w:rFonts w:hint="eastAsia"/>
                      <w:color w:val="auto"/>
                      <w:sz w:val="18"/>
                      <w:szCs w:val="18"/>
                    </w:rPr>
                    <w:t>1.23</w:t>
                  </w:r>
                </w:p>
              </w:tc>
              <w:tc>
                <w:tcPr>
                  <w:tcW w:w="601" w:type="dxa"/>
                  <w:vMerge w:val="restart"/>
                  <w:tcMar>
                    <w:left w:w="28" w:type="dxa"/>
                    <w:right w:w="28" w:type="dxa"/>
                  </w:tcMar>
                  <w:vAlign w:val="center"/>
                </w:tcPr>
                <w:p>
                  <w:pPr>
                    <w:jc w:val="center"/>
                    <w:rPr>
                      <w:color w:val="auto"/>
                      <w:sz w:val="18"/>
                      <w:szCs w:val="18"/>
                    </w:rPr>
                  </w:pPr>
                  <w:r>
                    <w:rPr>
                      <w:rFonts w:hint="eastAsia"/>
                      <w:color w:val="auto"/>
                      <w:sz w:val="18"/>
                      <w:szCs w:val="18"/>
                    </w:rPr>
                    <w:t>80</w:t>
                  </w:r>
                </w:p>
              </w:tc>
              <w:tc>
                <w:tcPr>
                  <w:tcW w:w="601" w:type="dxa"/>
                  <w:vMerge w:val="restart"/>
                  <w:tcMar>
                    <w:left w:w="28" w:type="dxa"/>
                    <w:right w:w="28" w:type="dxa"/>
                  </w:tcMar>
                  <w:vAlign w:val="center"/>
                </w:tcPr>
                <w:p>
                  <w:pPr>
                    <w:jc w:val="center"/>
                    <w:rPr>
                      <w:color w:val="auto"/>
                      <w:sz w:val="18"/>
                      <w:szCs w:val="18"/>
                    </w:rPr>
                  </w:pPr>
                  <w:r>
                    <w:rPr>
                      <w:rFonts w:hint="eastAsia"/>
                      <w:color w:val="auto"/>
                      <w:sz w:val="18"/>
                      <w:szCs w:val="18"/>
                    </w:rPr>
                    <w:t>3.0</w:t>
                  </w:r>
                </w:p>
              </w:tc>
              <w:tc>
                <w:tcPr>
                  <w:tcW w:w="640" w:type="dxa"/>
                  <w:vMerge w:val="restart"/>
                  <w:tcMar>
                    <w:left w:w="28" w:type="dxa"/>
                    <w:right w:w="28" w:type="dxa"/>
                  </w:tcMar>
                  <w:vAlign w:val="center"/>
                </w:tcPr>
                <w:p>
                  <w:pPr>
                    <w:jc w:val="center"/>
                    <w:rPr>
                      <w:color w:val="auto"/>
                      <w:sz w:val="18"/>
                      <w:szCs w:val="18"/>
                    </w:rPr>
                  </w:pPr>
                  <w:r>
                    <w:rPr>
                      <w:rFonts w:hint="eastAsia"/>
                      <w:color w:val="auto"/>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 w:hRule="atLeast"/>
              </w:trPr>
              <w:tc>
                <w:tcPr>
                  <w:tcW w:w="474" w:type="dxa"/>
                  <w:vMerge w:val="continue"/>
                  <w:tcMar>
                    <w:left w:w="28" w:type="dxa"/>
                    <w:right w:w="28" w:type="dxa"/>
                  </w:tcMar>
                  <w:vAlign w:val="center"/>
                </w:tcPr>
                <w:p>
                  <w:pPr>
                    <w:jc w:val="center"/>
                    <w:rPr>
                      <w:color w:val="auto"/>
                      <w:sz w:val="18"/>
                      <w:szCs w:val="18"/>
                    </w:rPr>
                  </w:pPr>
                </w:p>
              </w:tc>
              <w:tc>
                <w:tcPr>
                  <w:tcW w:w="635" w:type="dxa"/>
                  <w:vMerge w:val="continue"/>
                  <w:tcMar>
                    <w:left w:w="28" w:type="dxa"/>
                    <w:right w:w="28" w:type="dxa"/>
                  </w:tcMar>
                  <w:vAlign w:val="center"/>
                </w:tcPr>
                <w:p>
                  <w:pPr>
                    <w:jc w:val="center"/>
                    <w:rPr>
                      <w:color w:val="auto"/>
                      <w:sz w:val="18"/>
                      <w:szCs w:val="18"/>
                    </w:rPr>
                  </w:pPr>
                </w:p>
              </w:tc>
              <w:tc>
                <w:tcPr>
                  <w:tcW w:w="1040" w:type="dxa"/>
                  <w:vMerge w:val="continue"/>
                  <w:tcMar>
                    <w:left w:w="28" w:type="dxa"/>
                    <w:right w:w="28" w:type="dxa"/>
                  </w:tcMar>
                  <w:vAlign w:val="center"/>
                </w:tcPr>
                <w:p>
                  <w:pPr>
                    <w:jc w:val="center"/>
                    <w:rPr>
                      <w:color w:val="auto"/>
                      <w:sz w:val="18"/>
                      <w:szCs w:val="18"/>
                    </w:rPr>
                  </w:pPr>
                </w:p>
              </w:tc>
              <w:tc>
                <w:tcPr>
                  <w:tcW w:w="744" w:type="dxa"/>
                  <w:tcMar>
                    <w:left w:w="28" w:type="dxa"/>
                    <w:right w:w="28" w:type="dxa"/>
                  </w:tcMar>
                  <w:vAlign w:val="center"/>
                </w:tcPr>
                <w:p>
                  <w:pPr>
                    <w:jc w:val="center"/>
                    <w:rPr>
                      <w:color w:val="auto"/>
                      <w:sz w:val="18"/>
                      <w:szCs w:val="18"/>
                    </w:rPr>
                  </w:pPr>
                  <w:r>
                    <w:rPr>
                      <w:rFonts w:hint="eastAsia"/>
                      <w:color w:val="auto"/>
                      <w:sz w:val="18"/>
                      <w:szCs w:val="18"/>
                    </w:rPr>
                    <w:t>SO</w:t>
                  </w:r>
                  <w:r>
                    <w:rPr>
                      <w:rFonts w:hint="eastAsia"/>
                      <w:color w:val="auto"/>
                      <w:sz w:val="18"/>
                      <w:szCs w:val="18"/>
                      <w:vertAlign w:val="subscript"/>
                    </w:rPr>
                    <w:t>2</w:t>
                  </w:r>
                </w:p>
              </w:tc>
              <w:tc>
                <w:tcPr>
                  <w:tcW w:w="781" w:type="dxa"/>
                  <w:tcMar>
                    <w:left w:w="28" w:type="dxa"/>
                    <w:right w:w="28" w:type="dxa"/>
                  </w:tcMar>
                  <w:vAlign w:val="center"/>
                </w:tcPr>
                <w:p>
                  <w:pPr>
                    <w:jc w:val="center"/>
                    <w:rPr>
                      <w:color w:val="auto"/>
                      <w:sz w:val="18"/>
                      <w:szCs w:val="18"/>
                    </w:rPr>
                  </w:pPr>
                  <w:r>
                    <w:rPr>
                      <w:rFonts w:hint="eastAsia"/>
                      <w:color w:val="auto"/>
                      <w:sz w:val="18"/>
                      <w:szCs w:val="18"/>
                    </w:rPr>
                    <w:t>21.35</w:t>
                  </w:r>
                </w:p>
              </w:tc>
              <w:tc>
                <w:tcPr>
                  <w:tcW w:w="897" w:type="dxa"/>
                  <w:tcMar>
                    <w:left w:w="28" w:type="dxa"/>
                    <w:right w:w="28" w:type="dxa"/>
                  </w:tcMar>
                  <w:vAlign w:val="center"/>
                </w:tcPr>
                <w:p>
                  <w:pPr>
                    <w:jc w:val="center"/>
                    <w:rPr>
                      <w:color w:val="auto"/>
                      <w:sz w:val="18"/>
                      <w:szCs w:val="18"/>
                    </w:rPr>
                  </w:pPr>
                  <w:r>
                    <w:rPr>
                      <w:rFonts w:hint="eastAsia"/>
                      <w:color w:val="auto"/>
                      <w:sz w:val="18"/>
                      <w:szCs w:val="18"/>
                    </w:rPr>
                    <w:t>91.9</w:t>
                  </w:r>
                </w:p>
              </w:tc>
              <w:tc>
                <w:tcPr>
                  <w:tcW w:w="926" w:type="dxa"/>
                  <w:vMerge w:val="continue"/>
                  <w:tcMar>
                    <w:left w:w="28" w:type="dxa"/>
                    <w:right w:w="28" w:type="dxa"/>
                  </w:tcMar>
                  <w:vAlign w:val="center"/>
                </w:tcPr>
                <w:p>
                  <w:pPr>
                    <w:jc w:val="center"/>
                    <w:rPr>
                      <w:color w:val="auto"/>
                      <w:sz w:val="18"/>
                      <w:szCs w:val="18"/>
                    </w:rPr>
                  </w:pPr>
                </w:p>
              </w:tc>
              <w:tc>
                <w:tcPr>
                  <w:tcW w:w="781" w:type="dxa"/>
                  <w:tcMar>
                    <w:left w:w="28" w:type="dxa"/>
                    <w:right w:w="28" w:type="dxa"/>
                  </w:tcMar>
                  <w:vAlign w:val="center"/>
                </w:tcPr>
                <w:p>
                  <w:pPr>
                    <w:jc w:val="center"/>
                    <w:rPr>
                      <w:color w:val="auto"/>
                      <w:sz w:val="18"/>
                      <w:szCs w:val="18"/>
                    </w:rPr>
                  </w:pPr>
                  <w:r>
                    <w:rPr>
                      <w:rFonts w:hint="eastAsia"/>
                      <w:color w:val="auto"/>
                      <w:sz w:val="18"/>
                      <w:szCs w:val="18"/>
                    </w:rPr>
                    <w:t>4.27</w:t>
                  </w:r>
                </w:p>
              </w:tc>
              <w:tc>
                <w:tcPr>
                  <w:tcW w:w="941" w:type="dxa"/>
                  <w:tcMar>
                    <w:left w:w="28" w:type="dxa"/>
                    <w:right w:w="28" w:type="dxa"/>
                  </w:tcMar>
                  <w:vAlign w:val="center"/>
                </w:tcPr>
                <w:p>
                  <w:pPr>
                    <w:jc w:val="center"/>
                    <w:rPr>
                      <w:color w:val="auto"/>
                      <w:sz w:val="18"/>
                      <w:szCs w:val="18"/>
                    </w:rPr>
                  </w:pPr>
                  <w:r>
                    <w:rPr>
                      <w:rFonts w:hint="eastAsia"/>
                      <w:color w:val="auto"/>
                      <w:sz w:val="18"/>
                      <w:szCs w:val="18"/>
                    </w:rPr>
                    <w:t>18.4</w:t>
                  </w:r>
                </w:p>
              </w:tc>
              <w:tc>
                <w:tcPr>
                  <w:tcW w:w="601" w:type="dxa"/>
                  <w:vMerge w:val="continue"/>
                  <w:tcMar>
                    <w:left w:w="28" w:type="dxa"/>
                    <w:right w:w="28" w:type="dxa"/>
                  </w:tcMar>
                  <w:vAlign w:val="center"/>
                </w:tcPr>
                <w:p>
                  <w:pPr>
                    <w:jc w:val="center"/>
                    <w:rPr>
                      <w:color w:val="auto"/>
                      <w:sz w:val="18"/>
                      <w:szCs w:val="18"/>
                    </w:rPr>
                  </w:pPr>
                </w:p>
              </w:tc>
              <w:tc>
                <w:tcPr>
                  <w:tcW w:w="601" w:type="dxa"/>
                  <w:vMerge w:val="continue"/>
                  <w:tcMar>
                    <w:left w:w="28" w:type="dxa"/>
                    <w:right w:w="28" w:type="dxa"/>
                  </w:tcMar>
                  <w:vAlign w:val="center"/>
                </w:tcPr>
                <w:p>
                  <w:pPr>
                    <w:jc w:val="center"/>
                    <w:rPr>
                      <w:color w:val="auto"/>
                      <w:sz w:val="18"/>
                      <w:szCs w:val="18"/>
                    </w:rPr>
                  </w:pPr>
                </w:p>
              </w:tc>
              <w:tc>
                <w:tcPr>
                  <w:tcW w:w="640" w:type="dxa"/>
                  <w:vMerge w:val="continue"/>
                  <w:tcMar>
                    <w:left w:w="28" w:type="dxa"/>
                    <w:right w:w="28" w:type="dxa"/>
                  </w:tcMar>
                  <w:vAlign w:val="center"/>
                </w:tcPr>
                <w:p>
                  <w:pPr>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 w:hRule="atLeast"/>
              </w:trPr>
              <w:tc>
                <w:tcPr>
                  <w:tcW w:w="474" w:type="dxa"/>
                  <w:vMerge w:val="continue"/>
                  <w:tcMar>
                    <w:left w:w="28" w:type="dxa"/>
                    <w:right w:w="28" w:type="dxa"/>
                  </w:tcMar>
                  <w:vAlign w:val="center"/>
                </w:tcPr>
                <w:p>
                  <w:pPr>
                    <w:jc w:val="center"/>
                    <w:rPr>
                      <w:color w:val="auto"/>
                      <w:sz w:val="18"/>
                      <w:szCs w:val="18"/>
                    </w:rPr>
                  </w:pPr>
                </w:p>
              </w:tc>
              <w:tc>
                <w:tcPr>
                  <w:tcW w:w="635" w:type="dxa"/>
                  <w:vMerge w:val="continue"/>
                  <w:tcMar>
                    <w:left w:w="28" w:type="dxa"/>
                    <w:right w:w="28" w:type="dxa"/>
                  </w:tcMar>
                  <w:vAlign w:val="center"/>
                </w:tcPr>
                <w:p>
                  <w:pPr>
                    <w:jc w:val="center"/>
                    <w:rPr>
                      <w:color w:val="auto"/>
                      <w:sz w:val="18"/>
                      <w:szCs w:val="18"/>
                    </w:rPr>
                  </w:pPr>
                </w:p>
              </w:tc>
              <w:tc>
                <w:tcPr>
                  <w:tcW w:w="1040" w:type="dxa"/>
                  <w:vMerge w:val="continue"/>
                  <w:tcMar>
                    <w:left w:w="28" w:type="dxa"/>
                    <w:right w:w="28" w:type="dxa"/>
                  </w:tcMar>
                  <w:vAlign w:val="center"/>
                </w:tcPr>
                <w:p>
                  <w:pPr>
                    <w:jc w:val="center"/>
                    <w:rPr>
                      <w:color w:val="auto"/>
                      <w:sz w:val="18"/>
                      <w:szCs w:val="18"/>
                    </w:rPr>
                  </w:pPr>
                </w:p>
              </w:tc>
              <w:tc>
                <w:tcPr>
                  <w:tcW w:w="744" w:type="dxa"/>
                  <w:tcMar>
                    <w:left w:w="28" w:type="dxa"/>
                    <w:right w:w="28" w:type="dxa"/>
                  </w:tcMar>
                  <w:vAlign w:val="center"/>
                </w:tcPr>
                <w:p>
                  <w:pPr>
                    <w:jc w:val="center"/>
                    <w:rPr>
                      <w:color w:val="auto"/>
                      <w:sz w:val="18"/>
                      <w:szCs w:val="18"/>
                    </w:rPr>
                  </w:pPr>
                  <w:r>
                    <w:rPr>
                      <w:rFonts w:hint="eastAsia"/>
                      <w:color w:val="auto"/>
                      <w:sz w:val="18"/>
                      <w:szCs w:val="18"/>
                    </w:rPr>
                    <w:t>NO</w:t>
                  </w:r>
                  <w:r>
                    <w:rPr>
                      <w:rFonts w:hint="eastAsia"/>
                      <w:color w:val="auto"/>
                      <w:sz w:val="18"/>
                      <w:szCs w:val="18"/>
                      <w:vertAlign w:val="subscript"/>
                    </w:rPr>
                    <w:t>X</w:t>
                  </w:r>
                </w:p>
              </w:tc>
              <w:tc>
                <w:tcPr>
                  <w:tcW w:w="781" w:type="dxa"/>
                  <w:tcMar>
                    <w:left w:w="28" w:type="dxa"/>
                    <w:right w:w="28" w:type="dxa"/>
                  </w:tcMar>
                  <w:vAlign w:val="center"/>
                </w:tcPr>
                <w:p>
                  <w:pPr>
                    <w:jc w:val="center"/>
                    <w:rPr>
                      <w:color w:val="auto"/>
                      <w:sz w:val="18"/>
                      <w:szCs w:val="18"/>
                    </w:rPr>
                  </w:pPr>
                  <w:r>
                    <w:rPr>
                      <w:rFonts w:hint="eastAsia"/>
                      <w:color w:val="auto"/>
                      <w:sz w:val="18"/>
                      <w:szCs w:val="18"/>
                    </w:rPr>
                    <w:t>17.40</w:t>
                  </w:r>
                </w:p>
              </w:tc>
              <w:tc>
                <w:tcPr>
                  <w:tcW w:w="897" w:type="dxa"/>
                  <w:tcMar>
                    <w:left w:w="28" w:type="dxa"/>
                    <w:right w:w="28" w:type="dxa"/>
                  </w:tcMar>
                  <w:vAlign w:val="center"/>
                </w:tcPr>
                <w:p>
                  <w:pPr>
                    <w:jc w:val="center"/>
                    <w:rPr>
                      <w:color w:val="auto"/>
                      <w:sz w:val="18"/>
                      <w:szCs w:val="18"/>
                    </w:rPr>
                  </w:pPr>
                  <w:r>
                    <w:rPr>
                      <w:rFonts w:hint="eastAsia"/>
                      <w:color w:val="auto"/>
                      <w:sz w:val="18"/>
                      <w:szCs w:val="18"/>
                    </w:rPr>
                    <w:t>74.9</w:t>
                  </w:r>
                </w:p>
              </w:tc>
              <w:tc>
                <w:tcPr>
                  <w:tcW w:w="926" w:type="dxa"/>
                  <w:vMerge w:val="continue"/>
                  <w:tcMar>
                    <w:left w:w="28" w:type="dxa"/>
                    <w:right w:w="28" w:type="dxa"/>
                  </w:tcMar>
                  <w:vAlign w:val="center"/>
                </w:tcPr>
                <w:p>
                  <w:pPr>
                    <w:jc w:val="center"/>
                    <w:rPr>
                      <w:color w:val="auto"/>
                      <w:sz w:val="18"/>
                      <w:szCs w:val="18"/>
                    </w:rPr>
                  </w:pPr>
                </w:p>
              </w:tc>
              <w:tc>
                <w:tcPr>
                  <w:tcW w:w="781" w:type="dxa"/>
                  <w:tcMar>
                    <w:left w:w="28" w:type="dxa"/>
                    <w:right w:w="28" w:type="dxa"/>
                  </w:tcMar>
                  <w:vAlign w:val="center"/>
                </w:tcPr>
                <w:p>
                  <w:pPr>
                    <w:jc w:val="center"/>
                    <w:rPr>
                      <w:color w:val="auto"/>
                      <w:sz w:val="18"/>
                      <w:szCs w:val="18"/>
                    </w:rPr>
                  </w:pPr>
                  <w:r>
                    <w:rPr>
                      <w:rFonts w:hint="eastAsia"/>
                      <w:color w:val="auto"/>
                      <w:sz w:val="18"/>
                      <w:szCs w:val="18"/>
                    </w:rPr>
                    <w:t>17.40</w:t>
                  </w:r>
                </w:p>
              </w:tc>
              <w:tc>
                <w:tcPr>
                  <w:tcW w:w="941" w:type="dxa"/>
                  <w:tcMar>
                    <w:left w:w="28" w:type="dxa"/>
                    <w:right w:w="28" w:type="dxa"/>
                  </w:tcMar>
                  <w:vAlign w:val="center"/>
                </w:tcPr>
                <w:p>
                  <w:pPr>
                    <w:jc w:val="center"/>
                    <w:rPr>
                      <w:color w:val="auto"/>
                      <w:sz w:val="18"/>
                      <w:szCs w:val="18"/>
                    </w:rPr>
                  </w:pPr>
                  <w:r>
                    <w:rPr>
                      <w:rFonts w:hint="eastAsia"/>
                      <w:color w:val="auto"/>
                      <w:sz w:val="18"/>
                      <w:szCs w:val="18"/>
                    </w:rPr>
                    <w:t>74.9</w:t>
                  </w:r>
                </w:p>
              </w:tc>
              <w:tc>
                <w:tcPr>
                  <w:tcW w:w="601" w:type="dxa"/>
                  <w:vMerge w:val="continue"/>
                  <w:tcMar>
                    <w:left w:w="28" w:type="dxa"/>
                    <w:right w:w="28" w:type="dxa"/>
                  </w:tcMar>
                  <w:vAlign w:val="center"/>
                </w:tcPr>
                <w:p>
                  <w:pPr>
                    <w:jc w:val="center"/>
                    <w:rPr>
                      <w:color w:val="auto"/>
                      <w:sz w:val="18"/>
                      <w:szCs w:val="18"/>
                    </w:rPr>
                  </w:pPr>
                </w:p>
              </w:tc>
              <w:tc>
                <w:tcPr>
                  <w:tcW w:w="601" w:type="dxa"/>
                  <w:vMerge w:val="continue"/>
                  <w:tcMar>
                    <w:left w:w="28" w:type="dxa"/>
                    <w:right w:w="28" w:type="dxa"/>
                  </w:tcMar>
                  <w:vAlign w:val="center"/>
                </w:tcPr>
                <w:p>
                  <w:pPr>
                    <w:jc w:val="center"/>
                    <w:rPr>
                      <w:color w:val="auto"/>
                      <w:sz w:val="18"/>
                      <w:szCs w:val="18"/>
                    </w:rPr>
                  </w:pPr>
                </w:p>
              </w:tc>
              <w:tc>
                <w:tcPr>
                  <w:tcW w:w="640" w:type="dxa"/>
                  <w:vMerge w:val="continue"/>
                  <w:tcMar>
                    <w:left w:w="28" w:type="dxa"/>
                    <w:right w:w="28" w:type="dxa"/>
                  </w:tcMar>
                  <w:vAlign w:val="center"/>
                </w:tcPr>
                <w:p>
                  <w:pPr>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 w:hRule="atLeast"/>
              </w:trPr>
              <w:tc>
                <w:tcPr>
                  <w:tcW w:w="474" w:type="dxa"/>
                  <w:vMerge w:val="continue"/>
                  <w:tcMar>
                    <w:left w:w="28" w:type="dxa"/>
                    <w:right w:w="28" w:type="dxa"/>
                  </w:tcMar>
                  <w:vAlign w:val="center"/>
                </w:tcPr>
                <w:p>
                  <w:pPr>
                    <w:jc w:val="center"/>
                    <w:rPr>
                      <w:color w:val="auto"/>
                      <w:sz w:val="18"/>
                      <w:szCs w:val="18"/>
                    </w:rPr>
                  </w:pPr>
                </w:p>
              </w:tc>
              <w:tc>
                <w:tcPr>
                  <w:tcW w:w="635" w:type="dxa"/>
                  <w:vMerge w:val="continue"/>
                  <w:tcMar>
                    <w:left w:w="28" w:type="dxa"/>
                    <w:right w:w="28" w:type="dxa"/>
                  </w:tcMar>
                  <w:vAlign w:val="center"/>
                </w:tcPr>
                <w:p>
                  <w:pPr>
                    <w:jc w:val="center"/>
                    <w:rPr>
                      <w:color w:val="auto"/>
                      <w:sz w:val="18"/>
                      <w:szCs w:val="18"/>
                    </w:rPr>
                  </w:pPr>
                </w:p>
              </w:tc>
              <w:tc>
                <w:tcPr>
                  <w:tcW w:w="1040" w:type="dxa"/>
                  <w:vMerge w:val="continue"/>
                  <w:tcMar>
                    <w:left w:w="28" w:type="dxa"/>
                    <w:right w:w="28" w:type="dxa"/>
                  </w:tcMar>
                  <w:vAlign w:val="center"/>
                </w:tcPr>
                <w:p>
                  <w:pPr>
                    <w:jc w:val="center"/>
                    <w:rPr>
                      <w:color w:val="auto"/>
                      <w:sz w:val="18"/>
                      <w:szCs w:val="18"/>
                    </w:rPr>
                  </w:pPr>
                </w:p>
              </w:tc>
              <w:tc>
                <w:tcPr>
                  <w:tcW w:w="744" w:type="dxa"/>
                  <w:tcMar>
                    <w:left w:w="28" w:type="dxa"/>
                    <w:right w:w="28" w:type="dxa"/>
                  </w:tcMar>
                  <w:vAlign w:val="center"/>
                </w:tcPr>
                <w:p>
                  <w:pPr>
                    <w:jc w:val="center"/>
                    <w:rPr>
                      <w:color w:val="auto"/>
                      <w:sz w:val="18"/>
                      <w:szCs w:val="18"/>
                    </w:rPr>
                  </w:pPr>
                  <w:r>
                    <w:rPr>
                      <w:rFonts w:hint="eastAsia"/>
                      <w:color w:val="auto"/>
                      <w:sz w:val="18"/>
                      <w:szCs w:val="18"/>
                    </w:rPr>
                    <w:t>NH</w:t>
                  </w:r>
                  <w:r>
                    <w:rPr>
                      <w:rFonts w:hint="eastAsia"/>
                      <w:color w:val="auto"/>
                      <w:sz w:val="18"/>
                      <w:szCs w:val="18"/>
                      <w:vertAlign w:val="subscript"/>
                    </w:rPr>
                    <w:t>3</w:t>
                  </w:r>
                </w:p>
              </w:tc>
              <w:tc>
                <w:tcPr>
                  <w:tcW w:w="781" w:type="dxa"/>
                  <w:tcMar>
                    <w:left w:w="28" w:type="dxa"/>
                    <w:right w:w="28" w:type="dxa"/>
                  </w:tcMar>
                  <w:vAlign w:val="center"/>
                </w:tcPr>
                <w:p>
                  <w:pPr>
                    <w:jc w:val="center"/>
                    <w:rPr>
                      <w:color w:val="auto"/>
                      <w:sz w:val="18"/>
                      <w:szCs w:val="18"/>
                    </w:rPr>
                  </w:pPr>
                  <w:r>
                    <w:rPr>
                      <w:rFonts w:hint="eastAsia"/>
                      <w:color w:val="auto"/>
                      <w:sz w:val="18"/>
                      <w:szCs w:val="18"/>
                    </w:rPr>
                    <w:t>/</w:t>
                  </w:r>
                </w:p>
              </w:tc>
              <w:tc>
                <w:tcPr>
                  <w:tcW w:w="897" w:type="dxa"/>
                  <w:tcMar>
                    <w:left w:w="28" w:type="dxa"/>
                    <w:right w:w="28" w:type="dxa"/>
                  </w:tcMar>
                  <w:vAlign w:val="center"/>
                </w:tcPr>
                <w:p>
                  <w:pPr>
                    <w:jc w:val="center"/>
                    <w:rPr>
                      <w:color w:val="auto"/>
                      <w:sz w:val="18"/>
                      <w:szCs w:val="18"/>
                    </w:rPr>
                  </w:pPr>
                  <w:r>
                    <w:rPr>
                      <w:rFonts w:hint="eastAsia"/>
                      <w:color w:val="auto"/>
                      <w:sz w:val="18"/>
                      <w:szCs w:val="18"/>
                    </w:rPr>
                    <w:t>/</w:t>
                  </w:r>
                </w:p>
              </w:tc>
              <w:tc>
                <w:tcPr>
                  <w:tcW w:w="926" w:type="dxa"/>
                  <w:vMerge w:val="continue"/>
                  <w:tcMar>
                    <w:left w:w="28" w:type="dxa"/>
                    <w:right w:w="28" w:type="dxa"/>
                  </w:tcMar>
                  <w:vAlign w:val="center"/>
                </w:tcPr>
                <w:p>
                  <w:pPr>
                    <w:jc w:val="center"/>
                    <w:rPr>
                      <w:color w:val="auto"/>
                      <w:sz w:val="18"/>
                      <w:szCs w:val="18"/>
                    </w:rPr>
                  </w:pPr>
                </w:p>
              </w:tc>
              <w:tc>
                <w:tcPr>
                  <w:tcW w:w="781" w:type="dxa"/>
                  <w:tcMar>
                    <w:left w:w="28" w:type="dxa"/>
                    <w:right w:w="28" w:type="dxa"/>
                  </w:tcMar>
                  <w:vAlign w:val="center"/>
                </w:tcPr>
                <w:p>
                  <w:pPr>
                    <w:jc w:val="center"/>
                    <w:rPr>
                      <w:color w:val="auto"/>
                      <w:sz w:val="18"/>
                      <w:szCs w:val="18"/>
                    </w:rPr>
                  </w:pPr>
                  <w:r>
                    <w:rPr>
                      <w:rFonts w:hint="eastAsia"/>
                      <w:color w:val="auto"/>
                      <w:sz w:val="18"/>
                      <w:szCs w:val="18"/>
                    </w:rPr>
                    <w:t>0.24</w:t>
                  </w:r>
                </w:p>
              </w:tc>
              <w:tc>
                <w:tcPr>
                  <w:tcW w:w="941" w:type="dxa"/>
                  <w:tcMar>
                    <w:left w:w="28" w:type="dxa"/>
                    <w:right w:w="28" w:type="dxa"/>
                  </w:tcMar>
                  <w:vAlign w:val="center"/>
                </w:tcPr>
                <w:p>
                  <w:pPr>
                    <w:jc w:val="center"/>
                    <w:rPr>
                      <w:color w:val="auto"/>
                      <w:sz w:val="18"/>
                      <w:szCs w:val="18"/>
                    </w:rPr>
                  </w:pPr>
                  <w:r>
                    <w:rPr>
                      <w:rFonts w:hint="eastAsia"/>
                      <w:color w:val="auto"/>
                      <w:sz w:val="18"/>
                      <w:szCs w:val="18"/>
                    </w:rPr>
                    <w:t>1.03</w:t>
                  </w:r>
                </w:p>
              </w:tc>
              <w:tc>
                <w:tcPr>
                  <w:tcW w:w="601" w:type="dxa"/>
                  <w:vMerge w:val="continue"/>
                  <w:tcMar>
                    <w:left w:w="28" w:type="dxa"/>
                    <w:right w:w="28" w:type="dxa"/>
                  </w:tcMar>
                  <w:vAlign w:val="center"/>
                </w:tcPr>
                <w:p>
                  <w:pPr>
                    <w:jc w:val="center"/>
                    <w:rPr>
                      <w:color w:val="auto"/>
                      <w:sz w:val="18"/>
                      <w:szCs w:val="18"/>
                    </w:rPr>
                  </w:pPr>
                </w:p>
              </w:tc>
              <w:tc>
                <w:tcPr>
                  <w:tcW w:w="601" w:type="dxa"/>
                  <w:vMerge w:val="continue"/>
                  <w:tcMar>
                    <w:left w:w="28" w:type="dxa"/>
                    <w:right w:w="28" w:type="dxa"/>
                  </w:tcMar>
                  <w:vAlign w:val="center"/>
                </w:tcPr>
                <w:p>
                  <w:pPr>
                    <w:jc w:val="center"/>
                    <w:rPr>
                      <w:color w:val="auto"/>
                      <w:sz w:val="18"/>
                      <w:szCs w:val="18"/>
                    </w:rPr>
                  </w:pPr>
                </w:p>
              </w:tc>
              <w:tc>
                <w:tcPr>
                  <w:tcW w:w="640" w:type="dxa"/>
                  <w:vMerge w:val="continue"/>
                  <w:tcMar>
                    <w:left w:w="28" w:type="dxa"/>
                    <w:right w:w="28" w:type="dxa"/>
                  </w:tcMar>
                  <w:vAlign w:val="center"/>
                </w:tcPr>
                <w:p>
                  <w:pPr>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 w:hRule="atLeast"/>
              </w:trPr>
              <w:tc>
                <w:tcPr>
                  <w:tcW w:w="474" w:type="dxa"/>
                  <w:vMerge w:val="restart"/>
                  <w:tcMar>
                    <w:left w:w="28" w:type="dxa"/>
                    <w:right w:w="28" w:type="dxa"/>
                  </w:tcMar>
                  <w:vAlign w:val="center"/>
                </w:tcPr>
                <w:p>
                  <w:pPr>
                    <w:jc w:val="center"/>
                    <w:rPr>
                      <w:color w:val="auto"/>
                      <w:sz w:val="18"/>
                      <w:szCs w:val="18"/>
                    </w:rPr>
                  </w:pPr>
                  <w:r>
                    <w:rPr>
                      <w:rFonts w:hint="eastAsia"/>
                      <w:color w:val="auto"/>
                      <w:sz w:val="18"/>
                      <w:szCs w:val="18"/>
                    </w:rPr>
                    <w:t>3#烟囱</w:t>
                  </w:r>
                </w:p>
              </w:tc>
              <w:tc>
                <w:tcPr>
                  <w:tcW w:w="635" w:type="dxa"/>
                  <w:vMerge w:val="restart"/>
                  <w:tcMar>
                    <w:left w:w="28" w:type="dxa"/>
                    <w:right w:w="28" w:type="dxa"/>
                  </w:tcMar>
                  <w:vAlign w:val="center"/>
                </w:tcPr>
                <w:p>
                  <w:pPr>
                    <w:jc w:val="center"/>
                    <w:rPr>
                      <w:color w:val="auto"/>
                      <w:sz w:val="18"/>
                      <w:szCs w:val="18"/>
                    </w:rPr>
                  </w:pPr>
                  <w:r>
                    <w:rPr>
                      <w:rFonts w:hint="eastAsia"/>
                      <w:color w:val="auto"/>
                      <w:sz w:val="18"/>
                      <w:szCs w:val="18"/>
                    </w:rPr>
                    <w:t>4#、5#炉</w:t>
                  </w:r>
                </w:p>
              </w:tc>
              <w:tc>
                <w:tcPr>
                  <w:tcW w:w="1040" w:type="dxa"/>
                  <w:vMerge w:val="restart"/>
                  <w:tcMar>
                    <w:left w:w="28" w:type="dxa"/>
                    <w:right w:w="28" w:type="dxa"/>
                  </w:tcMar>
                  <w:vAlign w:val="center"/>
                </w:tcPr>
                <w:p>
                  <w:pPr>
                    <w:jc w:val="center"/>
                    <w:rPr>
                      <w:color w:val="auto"/>
                      <w:sz w:val="18"/>
                      <w:szCs w:val="18"/>
                    </w:rPr>
                  </w:pPr>
                  <w:r>
                    <w:rPr>
                      <w:rFonts w:hint="eastAsia"/>
                      <w:color w:val="auto"/>
                      <w:sz w:val="18"/>
                      <w:szCs w:val="18"/>
                    </w:rPr>
                    <w:t>637390</w:t>
                  </w:r>
                </w:p>
              </w:tc>
              <w:tc>
                <w:tcPr>
                  <w:tcW w:w="744" w:type="dxa"/>
                  <w:tcMar>
                    <w:left w:w="28" w:type="dxa"/>
                    <w:right w:w="28" w:type="dxa"/>
                  </w:tcMar>
                  <w:vAlign w:val="center"/>
                </w:tcPr>
                <w:p>
                  <w:pPr>
                    <w:jc w:val="center"/>
                    <w:rPr>
                      <w:color w:val="auto"/>
                      <w:sz w:val="18"/>
                      <w:szCs w:val="18"/>
                    </w:rPr>
                  </w:pPr>
                  <w:r>
                    <w:rPr>
                      <w:rFonts w:hint="eastAsia"/>
                      <w:color w:val="auto"/>
                      <w:sz w:val="18"/>
                      <w:szCs w:val="18"/>
                    </w:rPr>
                    <w:t>颗粒物</w:t>
                  </w:r>
                </w:p>
              </w:tc>
              <w:tc>
                <w:tcPr>
                  <w:tcW w:w="781" w:type="dxa"/>
                  <w:tcMar>
                    <w:left w:w="28" w:type="dxa"/>
                    <w:right w:w="28" w:type="dxa"/>
                  </w:tcMar>
                  <w:vAlign w:val="center"/>
                </w:tcPr>
                <w:p>
                  <w:pPr>
                    <w:jc w:val="center"/>
                    <w:rPr>
                      <w:color w:val="auto"/>
                      <w:sz w:val="18"/>
                      <w:szCs w:val="18"/>
                    </w:rPr>
                  </w:pPr>
                  <w:r>
                    <w:rPr>
                      <w:rFonts w:hint="eastAsia"/>
                      <w:color w:val="auto"/>
                      <w:sz w:val="18"/>
                      <w:szCs w:val="18"/>
                    </w:rPr>
                    <w:t>295.75</w:t>
                  </w:r>
                </w:p>
              </w:tc>
              <w:tc>
                <w:tcPr>
                  <w:tcW w:w="897" w:type="dxa"/>
                  <w:tcMar>
                    <w:left w:w="28" w:type="dxa"/>
                    <w:right w:w="28" w:type="dxa"/>
                  </w:tcMar>
                  <w:vAlign w:val="center"/>
                </w:tcPr>
                <w:p>
                  <w:pPr>
                    <w:jc w:val="center"/>
                    <w:rPr>
                      <w:color w:val="auto"/>
                      <w:sz w:val="18"/>
                      <w:szCs w:val="18"/>
                    </w:rPr>
                  </w:pPr>
                  <w:r>
                    <w:rPr>
                      <w:rFonts w:hint="eastAsia"/>
                      <w:color w:val="auto"/>
                      <w:sz w:val="18"/>
                      <w:szCs w:val="18"/>
                    </w:rPr>
                    <w:t>464</w:t>
                  </w:r>
                </w:p>
              </w:tc>
              <w:tc>
                <w:tcPr>
                  <w:tcW w:w="926" w:type="dxa"/>
                  <w:vMerge w:val="restart"/>
                  <w:tcMar>
                    <w:left w:w="28" w:type="dxa"/>
                    <w:right w:w="28" w:type="dxa"/>
                  </w:tcMar>
                  <w:vAlign w:val="center"/>
                </w:tcPr>
                <w:p>
                  <w:pPr>
                    <w:jc w:val="center"/>
                    <w:rPr>
                      <w:color w:val="auto"/>
                      <w:sz w:val="18"/>
                      <w:szCs w:val="18"/>
                    </w:rPr>
                  </w:pPr>
                  <w:r>
                    <w:rPr>
                      <w:rFonts w:hint="eastAsia"/>
                      <w:color w:val="auto"/>
                      <w:sz w:val="18"/>
                      <w:szCs w:val="18"/>
                    </w:rPr>
                    <w:t>低氮燃烧+氨法脱硫+袋式除尘器</w:t>
                  </w:r>
                </w:p>
              </w:tc>
              <w:tc>
                <w:tcPr>
                  <w:tcW w:w="781" w:type="dxa"/>
                  <w:tcMar>
                    <w:left w:w="28" w:type="dxa"/>
                    <w:right w:w="28" w:type="dxa"/>
                  </w:tcMar>
                  <w:vAlign w:val="center"/>
                </w:tcPr>
                <w:p>
                  <w:pPr>
                    <w:jc w:val="center"/>
                    <w:rPr>
                      <w:color w:val="auto"/>
                      <w:sz w:val="18"/>
                      <w:szCs w:val="18"/>
                    </w:rPr>
                  </w:pPr>
                  <w:r>
                    <w:rPr>
                      <w:rFonts w:hint="eastAsia"/>
                      <w:color w:val="auto"/>
                      <w:sz w:val="18"/>
                      <w:szCs w:val="18"/>
                    </w:rPr>
                    <w:t>2.96</w:t>
                  </w:r>
                </w:p>
              </w:tc>
              <w:tc>
                <w:tcPr>
                  <w:tcW w:w="941" w:type="dxa"/>
                  <w:tcMar>
                    <w:left w:w="28" w:type="dxa"/>
                    <w:right w:w="28" w:type="dxa"/>
                  </w:tcMar>
                  <w:vAlign w:val="center"/>
                </w:tcPr>
                <w:p>
                  <w:pPr>
                    <w:jc w:val="center"/>
                    <w:rPr>
                      <w:color w:val="auto"/>
                      <w:sz w:val="18"/>
                      <w:szCs w:val="18"/>
                    </w:rPr>
                  </w:pPr>
                  <w:r>
                    <w:rPr>
                      <w:rFonts w:hint="eastAsia"/>
                      <w:color w:val="auto"/>
                      <w:sz w:val="18"/>
                      <w:szCs w:val="18"/>
                    </w:rPr>
                    <w:t>4.64</w:t>
                  </w:r>
                </w:p>
              </w:tc>
              <w:tc>
                <w:tcPr>
                  <w:tcW w:w="601" w:type="dxa"/>
                  <w:vMerge w:val="restart"/>
                  <w:tcMar>
                    <w:left w:w="28" w:type="dxa"/>
                    <w:right w:w="28" w:type="dxa"/>
                  </w:tcMar>
                  <w:vAlign w:val="center"/>
                </w:tcPr>
                <w:p>
                  <w:pPr>
                    <w:jc w:val="center"/>
                    <w:rPr>
                      <w:color w:val="auto"/>
                      <w:sz w:val="18"/>
                      <w:szCs w:val="18"/>
                    </w:rPr>
                  </w:pPr>
                  <w:r>
                    <w:rPr>
                      <w:rFonts w:hint="eastAsia"/>
                      <w:color w:val="auto"/>
                      <w:sz w:val="18"/>
                      <w:szCs w:val="18"/>
                    </w:rPr>
                    <w:t>80</w:t>
                  </w:r>
                </w:p>
              </w:tc>
              <w:tc>
                <w:tcPr>
                  <w:tcW w:w="601" w:type="dxa"/>
                  <w:vMerge w:val="restart"/>
                  <w:tcMar>
                    <w:left w:w="28" w:type="dxa"/>
                    <w:right w:w="28" w:type="dxa"/>
                  </w:tcMar>
                  <w:vAlign w:val="center"/>
                </w:tcPr>
                <w:p>
                  <w:pPr>
                    <w:jc w:val="center"/>
                    <w:rPr>
                      <w:color w:val="auto"/>
                      <w:sz w:val="18"/>
                      <w:szCs w:val="18"/>
                    </w:rPr>
                  </w:pPr>
                  <w:r>
                    <w:rPr>
                      <w:rFonts w:hint="eastAsia"/>
                      <w:color w:val="auto"/>
                      <w:sz w:val="18"/>
                      <w:szCs w:val="18"/>
                    </w:rPr>
                    <w:t>3.5</w:t>
                  </w:r>
                </w:p>
              </w:tc>
              <w:tc>
                <w:tcPr>
                  <w:tcW w:w="640" w:type="dxa"/>
                  <w:vMerge w:val="restart"/>
                  <w:tcMar>
                    <w:left w:w="28" w:type="dxa"/>
                    <w:right w:w="28" w:type="dxa"/>
                  </w:tcMar>
                  <w:vAlign w:val="center"/>
                </w:tcPr>
                <w:p>
                  <w:pPr>
                    <w:jc w:val="center"/>
                    <w:rPr>
                      <w:color w:val="auto"/>
                      <w:sz w:val="18"/>
                      <w:szCs w:val="18"/>
                    </w:rPr>
                  </w:pPr>
                  <w:r>
                    <w:rPr>
                      <w:rFonts w:hint="eastAsia"/>
                      <w:color w:val="auto"/>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 w:hRule="atLeast"/>
              </w:trPr>
              <w:tc>
                <w:tcPr>
                  <w:tcW w:w="474" w:type="dxa"/>
                  <w:vMerge w:val="continue"/>
                  <w:tcMar>
                    <w:left w:w="28" w:type="dxa"/>
                    <w:right w:w="28" w:type="dxa"/>
                  </w:tcMar>
                  <w:vAlign w:val="center"/>
                </w:tcPr>
                <w:p>
                  <w:pPr>
                    <w:jc w:val="center"/>
                    <w:rPr>
                      <w:color w:val="auto"/>
                      <w:sz w:val="18"/>
                      <w:szCs w:val="18"/>
                    </w:rPr>
                  </w:pPr>
                </w:p>
              </w:tc>
              <w:tc>
                <w:tcPr>
                  <w:tcW w:w="635" w:type="dxa"/>
                  <w:vMerge w:val="continue"/>
                  <w:tcMar>
                    <w:left w:w="28" w:type="dxa"/>
                    <w:right w:w="28" w:type="dxa"/>
                  </w:tcMar>
                  <w:vAlign w:val="center"/>
                </w:tcPr>
                <w:p>
                  <w:pPr>
                    <w:jc w:val="center"/>
                    <w:rPr>
                      <w:color w:val="auto"/>
                      <w:sz w:val="18"/>
                      <w:szCs w:val="18"/>
                    </w:rPr>
                  </w:pPr>
                </w:p>
              </w:tc>
              <w:tc>
                <w:tcPr>
                  <w:tcW w:w="1040" w:type="dxa"/>
                  <w:vMerge w:val="continue"/>
                  <w:tcMar>
                    <w:left w:w="28" w:type="dxa"/>
                    <w:right w:w="28" w:type="dxa"/>
                  </w:tcMar>
                  <w:vAlign w:val="center"/>
                </w:tcPr>
                <w:p>
                  <w:pPr>
                    <w:jc w:val="center"/>
                    <w:rPr>
                      <w:color w:val="auto"/>
                      <w:sz w:val="18"/>
                      <w:szCs w:val="18"/>
                    </w:rPr>
                  </w:pPr>
                </w:p>
              </w:tc>
              <w:tc>
                <w:tcPr>
                  <w:tcW w:w="744" w:type="dxa"/>
                  <w:tcMar>
                    <w:left w:w="28" w:type="dxa"/>
                    <w:right w:w="28" w:type="dxa"/>
                  </w:tcMar>
                  <w:vAlign w:val="center"/>
                </w:tcPr>
                <w:p>
                  <w:pPr>
                    <w:jc w:val="center"/>
                    <w:rPr>
                      <w:color w:val="auto"/>
                      <w:sz w:val="18"/>
                      <w:szCs w:val="18"/>
                    </w:rPr>
                  </w:pPr>
                  <w:r>
                    <w:rPr>
                      <w:rFonts w:hint="eastAsia"/>
                      <w:color w:val="auto"/>
                      <w:sz w:val="18"/>
                      <w:szCs w:val="18"/>
                    </w:rPr>
                    <w:t>SO</w:t>
                  </w:r>
                  <w:r>
                    <w:rPr>
                      <w:rFonts w:hint="eastAsia"/>
                      <w:color w:val="auto"/>
                      <w:sz w:val="18"/>
                      <w:szCs w:val="18"/>
                      <w:vertAlign w:val="subscript"/>
                    </w:rPr>
                    <w:t>2</w:t>
                  </w:r>
                </w:p>
              </w:tc>
              <w:tc>
                <w:tcPr>
                  <w:tcW w:w="781" w:type="dxa"/>
                  <w:tcMar>
                    <w:left w:w="28" w:type="dxa"/>
                    <w:right w:w="28" w:type="dxa"/>
                  </w:tcMar>
                  <w:vAlign w:val="center"/>
                </w:tcPr>
                <w:p>
                  <w:pPr>
                    <w:jc w:val="center"/>
                    <w:rPr>
                      <w:color w:val="auto"/>
                      <w:sz w:val="18"/>
                      <w:szCs w:val="18"/>
                    </w:rPr>
                  </w:pPr>
                  <w:r>
                    <w:rPr>
                      <w:rFonts w:hint="eastAsia"/>
                      <w:color w:val="auto"/>
                      <w:sz w:val="18"/>
                      <w:szCs w:val="18"/>
                    </w:rPr>
                    <w:t>60.25</w:t>
                  </w:r>
                </w:p>
              </w:tc>
              <w:tc>
                <w:tcPr>
                  <w:tcW w:w="897" w:type="dxa"/>
                  <w:tcMar>
                    <w:left w:w="28" w:type="dxa"/>
                    <w:right w:w="28" w:type="dxa"/>
                  </w:tcMar>
                  <w:vAlign w:val="center"/>
                </w:tcPr>
                <w:p>
                  <w:pPr>
                    <w:jc w:val="center"/>
                    <w:rPr>
                      <w:color w:val="auto"/>
                      <w:sz w:val="18"/>
                      <w:szCs w:val="18"/>
                    </w:rPr>
                  </w:pPr>
                  <w:r>
                    <w:rPr>
                      <w:rFonts w:hint="eastAsia"/>
                      <w:color w:val="auto"/>
                      <w:sz w:val="18"/>
                      <w:szCs w:val="18"/>
                    </w:rPr>
                    <w:t>94.5</w:t>
                  </w:r>
                </w:p>
              </w:tc>
              <w:tc>
                <w:tcPr>
                  <w:tcW w:w="926" w:type="dxa"/>
                  <w:vMerge w:val="continue"/>
                  <w:tcMar>
                    <w:left w:w="28" w:type="dxa"/>
                    <w:right w:w="28" w:type="dxa"/>
                  </w:tcMar>
                  <w:vAlign w:val="center"/>
                </w:tcPr>
                <w:p>
                  <w:pPr>
                    <w:jc w:val="center"/>
                    <w:rPr>
                      <w:color w:val="auto"/>
                      <w:sz w:val="18"/>
                      <w:szCs w:val="18"/>
                    </w:rPr>
                  </w:pPr>
                </w:p>
              </w:tc>
              <w:tc>
                <w:tcPr>
                  <w:tcW w:w="781" w:type="dxa"/>
                  <w:tcMar>
                    <w:left w:w="28" w:type="dxa"/>
                    <w:right w:w="28" w:type="dxa"/>
                  </w:tcMar>
                  <w:vAlign w:val="center"/>
                </w:tcPr>
                <w:p>
                  <w:pPr>
                    <w:jc w:val="center"/>
                    <w:rPr>
                      <w:color w:val="auto"/>
                      <w:sz w:val="18"/>
                      <w:szCs w:val="18"/>
                    </w:rPr>
                  </w:pPr>
                  <w:r>
                    <w:rPr>
                      <w:rFonts w:hint="eastAsia"/>
                      <w:color w:val="auto"/>
                      <w:sz w:val="18"/>
                      <w:szCs w:val="18"/>
                    </w:rPr>
                    <w:t>12.05</w:t>
                  </w:r>
                </w:p>
              </w:tc>
              <w:tc>
                <w:tcPr>
                  <w:tcW w:w="941" w:type="dxa"/>
                  <w:tcMar>
                    <w:left w:w="28" w:type="dxa"/>
                    <w:right w:w="28" w:type="dxa"/>
                  </w:tcMar>
                  <w:vAlign w:val="center"/>
                </w:tcPr>
                <w:p>
                  <w:pPr>
                    <w:jc w:val="center"/>
                    <w:rPr>
                      <w:color w:val="auto"/>
                      <w:sz w:val="18"/>
                      <w:szCs w:val="18"/>
                    </w:rPr>
                  </w:pPr>
                  <w:r>
                    <w:rPr>
                      <w:rFonts w:hint="eastAsia"/>
                      <w:color w:val="auto"/>
                      <w:sz w:val="18"/>
                      <w:szCs w:val="18"/>
                    </w:rPr>
                    <w:t>18.9</w:t>
                  </w:r>
                </w:p>
              </w:tc>
              <w:tc>
                <w:tcPr>
                  <w:tcW w:w="601" w:type="dxa"/>
                  <w:vMerge w:val="continue"/>
                  <w:tcMar>
                    <w:left w:w="28" w:type="dxa"/>
                    <w:right w:w="28" w:type="dxa"/>
                  </w:tcMar>
                  <w:vAlign w:val="center"/>
                </w:tcPr>
                <w:p>
                  <w:pPr>
                    <w:jc w:val="center"/>
                    <w:rPr>
                      <w:color w:val="auto"/>
                      <w:sz w:val="18"/>
                      <w:szCs w:val="18"/>
                    </w:rPr>
                  </w:pPr>
                </w:p>
              </w:tc>
              <w:tc>
                <w:tcPr>
                  <w:tcW w:w="601" w:type="dxa"/>
                  <w:vMerge w:val="continue"/>
                  <w:tcMar>
                    <w:left w:w="28" w:type="dxa"/>
                    <w:right w:w="28" w:type="dxa"/>
                  </w:tcMar>
                  <w:vAlign w:val="center"/>
                </w:tcPr>
                <w:p>
                  <w:pPr>
                    <w:jc w:val="center"/>
                    <w:rPr>
                      <w:color w:val="auto"/>
                      <w:sz w:val="18"/>
                      <w:szCs w:val="18"/>
                    </w:rPr>
                  </w:pPr>
                </w:p>
              </w:tc>
              <w:tc>
                <w:tcPr>
                  <w:tcW w:w="640" w:type="dxa"/>
                  <w:vMerge w:val="continue"/>
                  <w:tcMar>
                    <w:left w:w="28" w:type="dxa"/>
                    <w:right w:w="28" w:type="dxa"/>
                  </w:tcMar>
                  <w:vAlign w:val="center"/>
                </w:tcPr>
                <w:p>
                  <w:pPr>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 w:hRule="atLeast"/>
              </w:trPr>
              <w:tc>
                <w:tcPr>
                  <w:tcW w:w="474" w:type="dxa"/>
                  <w:vMerge w:val="continue"/>
                  <w:tcMar>
                    <w:left w:w="28" w:type="dxa"/>
                    <w:right w:w="28" w:type="dxa"/>
                  </w:tcMar>
                  <w:vAlign w:val="center"/>
                </w:tcPr>
                <w:p>
                  <w:pPr>
                    <w:jc w:val="center"/>
                    <w:rPr>
                      <w:color w:val="auto"/>
                      <w:sz w:val="18"/>
                      <w:szCs w:val="18"/>
                    </w:rPr>
                  </w:pPr>
                </w:p>
              </w:tc>
              <w:tc>
                <w:tcPr>
                  <w:tcW w:w="635" w:type="dxa"/>
                  <w:vMerge w:val="continue"/>
                  <w:tcMar>
                    <w:left w:w="28" w:type="dxa"/>
                    <w:right w:w="28" w:type="dxa"/>
                  </w:tcMar>
                  <w:vAlign w:val="center"/>
                </w:tcPr>
                <w:p>
                  <w:pPr>
                    <w:jc w:val="center"/>
                    <w:rPr>
                      <w:color w:val="auto"/>
                      <w:sz w:val="18"/>
                      <w:szCs w:val="18"/>
                    </w:rPr>
                  </w:pPr>
                </w:p>
              </w:tc>
              <w:tc>
                <w:tcPr>
                  <w:tcW w:w="1040" w:type="dxa"/>
                  <w:vMerge w:val="continue"/>
                  <w:tcMar>
                    <w:left w:w="28" w:type="dxa"/>
                    <w:right w:w="28" w:type="dxa"/>
                  </w:tcMar>
                  <w:vAlign w:val="center"/>
                </w:tcPr>
                <w:p>
                  <w:pPr>
                    <w:jc w:val="center"/>
                    <w:rPr>
                      <w:color w:val="auto"/>
                      <w:sz w:val="18"/>
                      <w:szCs w:val="18"/>
                    </w:rPr>
                  </w:pPr>
                </w:p>
              </w:tc>
              <w:tc>
                <w:tcPr>
                  <w:tcW w:w="744" w:type="dxa"/>
                  <w:tcMar>
                    <w:left w:w="28" w:type="dxa"/>
                    <w:right w:w="28" w:type="dxa"/>
                  </w:tcMar>
                  <w:vAlign w:val="center"/>
                </w:tcPr>
                <w:p>
                  <w:pPr>
                    <w:jc w:val="center"/>
                    <w:rPr>
                      <w:color w:val="auto"/>
                      <w:sz w:val="18"/>
                      <w:szCs w:val="18"/>
                    </w:rPr>
                  </w:pPr>
                  <w:r>
                    <w:rPr>
                      <w:rFonts w:hint="eastAsia"/>
                      <w:color w:val="auto"/>
                      <w:sz w:val="18"/>
                      <w:szCs w:val="18"/>
                    </w:rPr>
                    <w:t>NO</w:t>
                  </w:r>
                  <w:r>
                    <w:rPr>
                      <w:rFonts w:hint="eastAsia"/>
                      <w:color w:val="auto"/>
                      <w:sz w:val="18"/>
                      <w:szCs w:val="18"/>
                      <w:vertAlign w:val="subscript"/>
                    </w:rPr>
                    <w:t>X</w:t>
                  </w:r>
                </w:p>
              </w:tc>
              <w:tc>
                <w:tcPr>
                  <w:tcW w:w="781" w:type="dxa"/>
                  <w:tcMar>
                    <w:left w:w="28" w:type="dxa"/>
                    <w:right w:w="28" w:type="dxa"/>
                  </w:tcMar>
                  <w:vAlign w:val="center"/>
                </w:tcPr>
                <w:p>
                  <w:pPr>
                    <w:jc w:val="center"/>
                    <w:rPr>
                      <w:color w:val="auto"/>
                      <w:sz w:val="18"/>
                      <w:szCs w:val="18"/>
                    </w:rPr>
                  </w:pPr>
                  <w:r>
                    <w:rPr>
                      <w:rFonts w:hint="eastAsia"/>
                      <w:color w:val="auto"/>
                      <w:sz w:val="18"/>
                      <w:szCs w:val="18"/>
                    </w:rPr>
                    <w:t>50.86</w:t>
                  </w:r>
                </w:p>
              </w:tc>
              <w:tc>
                <w:tcPr>
                  <w:tcW w:w="897" w:type="dxa"/>
                  <w:tcMar>
                    <w:left w:w="28" w:type="dxa"/>
                    <w:right w:w="28" w:type="dxa"/>
                  </w:tcMar>
                  <w:vAlign w:val="center"/>
                </w:tcPr>
                <w:p>
                  <w:pPr>
                    <w:jc w:val="center"/>
                    <w:rPr>
                      <w:color w:val="auto"/>
                      <w:sz w:val="18"/>
                      <w:szCs w:val="18"/>
                    </w:rPr>
                  </w:pPr>
                  <w:r>
                    <w:rPr>
                      <w:rFonts w:hint="eastAsia"/>
                      <w:color w:val="auto"/>
                      <w:sz w:val="18"/>
                      <w:szCs w:val="18"/>
                    </w:rPr>
                    <w:t>79.8</w:t>
                  </w:r>
                </w:p>
              </w:tc>
              <w:tc>
                <w:tcPr>
                  <w:tcW w:w="926" w:type="dxa"/>
                  <w:vMerge w:val="continue"/>
                  <w:tcMar>
                    <w:left w:w="28" w:type="dxa"/>
                    <w:right w:w="28" w:type="dxa"/>
                  </w:tcMar>
                  <w:vAlign w:val="center"/>
                </w:tcPr>
                <w:p>
                  <w:pPr>
                    <w:jc w:val="center"/>
                    <w:rPr>
                      <w:color w:val="auto"/>
                      <w:sz w:val="18"/>
                      <w:szCs w:val="18"/>
                    </w:rPr>
                  </w:pPr>
                </w:p>
              </w:tc>
              <w:tc>
                <w:tcPr>
                  <w:tcW w:w="781" w:type="dxa"/>
                  <w:tcMar>
                    <w:left w:w="28" w:type="dxa"/>
                    <w:right w:w="28" w:type="dxa"/>
                  </w:tcMar>
                  <w:vAlign w:val="center"/>
                </w:tcPr>
                <w:p>
                  <w:pPr>
                    <w:jc w:val="center"/>
                    <w:rPr>
                      <w:color w:val="auto"/>
                      <w:sz w:val="18"/>
                      <w:szCs w:val="18"/>
                    </w:rPr>
                  </w:pPr>
                  <w:r>
                    <w:rPr>
                      <w:rFonts w:hint="eastAsia"/>
                      <w:color w:val="auto"/>
                      <w:sz w:val="18"/>
                      <w:szCs w:val="18"/>
                    </w:rPr>
                    <w:t>50.86</w:t>
                  </w:r>
                </w:p>
              </w:tc>
              <w:tc>
                <w:tcPr>
                  <w:tcW w:w="941" w:type="dxa"/>
                  <w:tcMar>
                    <w:left w:w="28" w:type="dxa"/>
                    <w:right w:w="28" w:type="dxa"/>
                  </w:tcMar>
                  <w:vAlign w:val="center"/>
                </w:tcPr>
                <w:p>
                  <w:pPr>
                    <w:jc w:val="center"/>
                    <w:rPr>
                      <w:color w:val="auto"/>
                      <w:sz w:val="18"/>
                      <w:szCs w:val="18"/>
                    </w:rPr>
                  </w:pPr>
                  <w:r>
                    <w:rPr>
                      <w:rFonts w:hint="eastAsia"/>
                      <w:color w:val="auto"/>
                      <w:sz w:val="18"/>
                      <w:szCs w:val="18"/>
                    </w:rPr>
                    <w:t>79.8</w:t>
                  </w:r>
                </w:p>
              </w:tc>
              <w:tc>
                <w:tcPr>
                  <w:tcW w:w="601" w:type="dxa"/>
                  <w:vMerge w:val="continue"/>
                  <w:tcMar>
                    <w:left w:w="28" w:type="dxa"/>
                    <w:right w:w="28" w:type="dxa"/>
                  </w:tcMar>
                  <w:vAlign w:val="center"/>
                </w:tcPr>
                <w:p>
                  <w:pPr>
                    <w:jc w:val="center"/>
                    <w:rPr>
                      <w:color w:val="auto"/>
                      <w:sz w:val="18"/>
                      <w:szCs w:val="18"/>
                    </w:rPr>
                  </w:pPr>
                </w:p>
              </w:tc>
              <w:tc>
                <w:tcPr>
                  <w:tcW w:w="601" w:type="dxa"/>
                  <w:vMerge w:val="continue"/>
                  <w:tcMar>
                    <w:left w:w="28" w:type="dxa"/>
                    <w:right w:w="28" w:type="dxa"/>
                  </w:tcMar>
                  <w:vAlign w:val="center"/>
                </w:tcPr>
                <w:p>
                  <w:pPr>
                    <w:jc w:val="center"/>
                    <w:rPr>
                      <w:color w:val="auto"/>
                      <w:sz w:val="18"/>
                      <w:szCs w:val="18"/>
                    </w:rPr>
                  </w:pPr>
                </w:p>
              </w:tc>
              <w:tc>
                <w:tcPr>
                  <w:tcW w:w="640" w:type="dxa"/>
                  <w:vMerge w:val="continue"/>
                  <w:tcMar>
                    <w:left w:w="28" w:type="dxa"/>
                    <w:right w:w="28" w:type="dxa"/>
                  </w:tcMar>
                  <w:vAlign w:val="center"/>
                </w:tcPr>
                <w:p>
                  <w:pPr>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 w:hRule="atLeast"/>
              </w:trPr>
              <w:tc>
                <w:tcPr>
                  <w:tcW w:w="474" w:type="dxa"/>
                  <w:vMerge w:val="continue"/>
                  <w:tcMar>
                    <w:left w:w="28" w:type="dxa"/>
                    <w:right w:w="28" w:type="dxa"/>
                  </w:tcMar>
                  <w:vAlign w:val="center"/>
                </w:tcPr>
                <w:p>
                  <w:pPr>
                    <w:jc w:val="center"/>
                    <w:rPr>
                      <w:color w:val="auto"/>
                      <w:sz w:val="18"/>
                      <w:szCs w:val="18"/>
                    </w:rPr>
                  </w:pPr>
                </w:p>
              </w:tc>
              <w:tc>
                <w:tcPr>
                  <w:tcW w:w="635" w:type="dxa"/>
                  <w:vMerge w:val="continue"/>
                  <w:tcMar>
                    <w:left w:w="28" w:type="dxa"/>
                    <w:right w:w="28" w:type="dxa"/>
                  </w:tcMar>
                  <w:vAlign w:val="center"/>
                </w:tcPr>
                <w:p>
                  <w:pPr>
                    <w:jc w:val="center"/>
                    <w:rPr>
                      <w:color w:val="auto"/>
                      <w:sz w:val="18"/>
                      <w:szCs w:val="18"/>
                    </w:rPr>
                  </w:pPr>
                </w:p>
              </w:tc>
              <w:tc>
                <w:tcPr>
                  <w:tcW w:w="1040" w:type="dxa"/>
                  <w:vMerge w:val="continue"/>
                  <w:tcMar>
                    <w:left w:w="28" w:type="dxa"/>
                    <w:right w:w="28" w:type="dxa"/>
                  </w:tcMar>
                  <w:vAlign w:val="center"/>
                </w:tcPr>
                <w:p>
                  <w:pPr>
                    <w:jc w:val="center"/>
                    <w:rPr>
                      <w:color w:val="auto"/>
                      <w:sz w:val="18"/>
                      <w:szCs w:val="18"/>
                    </w:rPr>
                  </w:pPr>
                </w:p>
              </w:tc>
              <w:tc>
                <w:tcPr>
                  <w:tcW w:w="744" w:type="dxa"/>
                  <w:tcMar>
                    <w:left w:w="28" w:type="dxa"/>
                    <w:right w:w="28" w:type="dxa"/>
                  </w:tcMar>
                  <w:vAlign w:val="center"/>
                </w:tcPr>
                <w:p>
                  <w:pPr>
                    <w:jc w:val="center"/>
                    <w:rPr>
                      <w:color w:val="auto"/>
                      <w:sz w:val="18"/>
                      <w:szCs w:val="18"/>
                    </w:rPr>
                  </w:pPr>
                  <w:r>
                    <w:rPr>
                      <w:rFonts w:hint="eastAsia"/>
                      <w:color w:val="auto"/>
                      <w:sz w:val="18"/>
                      <w:szCs w:val="18"/>
                    </w:rPr>
                    <w:t>NH</w:t>
                  </w:r>
                  <w:r>
                    <w:rPr>
                      <w:rFonts w:hint="eastAsia"/>
                      <w:color w:val="auto"/>
                      <w:sz w:val="18"/>
                      <w:szCs w:val="18"/>
                      <w:vertAlign w:val="subscript"/>
                    </w:rPr>
                    <w:t>3</w:t>
                  </w:r>
                </w:p>
              </w:tc>
              <w:tc>
                <w:tcPr>
                  <w:tcW w:w="781" w:type="dxa"/>
                  <w:tcMar>
                    <w:left w:w="28" w:type="dxa"/>
                    <w:right w:w="28" w:type="dxa"/>
                  </w:tcMar>
                  <w:vAlign w:val="center"/>
                </w:tcPr>
                <w:p>
                  <w:pPr>
                    <w:jc w:val="center"/>
                    <w:rPr>
                      <w:color w:val="auto"/>
                      <w:sz w:val="18"/>
                      <w:szCs w:val="18"/>
                    </w:rPr>
                  </w:pPr>
                  <w:r>
                    <w:rPr>
                      <w:rFonts w:hint="eastAsia"/>
                      <w:color w:val="auto"/>
                      <w:sz w:val="18"/>
                      <w:szCs w:val="18"/>
                    </w:rPr>
                    <w:t>/</w:t>
                  </w:r>
                </w:p>
              </w:tc>
              <w:tc>
                <w:tcPr>
                  <w:tcW w:w="897" w:type="dxa"/>
                  <w:tcMar>
                    <w:left w:w="28" w:type="dxa"/>
                    <w:right w:w="28" w:type="dxa"/>
                  </w:tcMar>
                  <w:vAlign w:val="center"/>
                </w:tcPr>
                <w:p>
                  <w:pPr>
                    <w:jc w:val="center"/>
                    <w:rPr>
                      <w:color w:val="auto"/>
                      <w:sz w:val="18"/>
                      <w:szCs w:val="18"/>
                    </w:rPr>
                  </w:pPr>
                  <w:r>
                    <w:rPr>
                      <w:rFonts w:hint="eastAsia"/>
                      <w:color w:val="auto"/>
                      <w:sz w:val="18"/>
                      <w:szCs w:val="18"/>
                    </w:rPr>
                    <w:t>/</w:t>
                  </w:r>
                </w:p>
              </w:tc>
              <w:tc>
                <w:tcPr>
                  <w:tcW w:w="926" w:type="dxa"/>
                  <w:vMerge w:val="continue"/>
                  <w:tcMar>
                    <w:left w:w="28" w:type="dxa"/>
                    <w:right w:w="28" w:type="dxa"/>
                  </w:tcMar>
                  <w:vAlign w:val="center"/>
                </w:tcPr>
                <w:p>
                  <w:pPr>
                    <w:jc w:val="center"/>
                    <w:rPr>
                      <w:color w:val="auto"/>
                      <w:sz w:val="18"/>
                      <w:szCs w:val="18"/>
                    </w:rPr>
                  </w:pPr>
                </w:p>
              </w:tc>
              <w:tc>
                <w:tcPr>
                  <w:tcW w:w="781" w:type="dxa"/>
                  <w:tcMar>
                    <w:left w:w="28" w:type="dxa"/>
                    <w:right w:w="28" w:type="dxa"/>
                  </w:tcMar>
                  <w:vAlign w:val="center"/>
                </w:tcPr>
                <w:p>
                  <w:pPr>
                    <w:jc w:val="center"/>
                    <w:rPr>
                      <w:color w:val="auto"/>
                      <w:sz w:val="18"/>
                      <w:szCs w:val="18"/>
                    </w:rPr>
                  </w:pPr>
                  <w:r>
                    <w:rPr>
                      <w:rFonts w:hint="eastAsia"/>
                      <w:color w:val="auto"/>
                      <w:sz w:val="18"/>
                      <w:szCs w:val="18"/>
                    </w:rPr>
                    <w:t>0.65</w:t>
                  </w:r>
                </w:p>
              </w:tc>
              <w:tc>
                <w:tcPr>
                  <w:tcW w:w="941" w:type="dxa"/>
                  <w:tcMar>
                    <w:left w:w="28" w:type="dxa"/>
                    <w:right w:w="28" w:type="dxa"/>
                  </w:tcMar>
                  <w:vAlign w:val="center"/>
                </w:tcPr>
                <w:p>
                  <w:pPr>
                    <w:jc w:val="center"/>
                    <w:rPr>
                      <w:color w:val="auto"/>
                      <w:sz w:val="18"/>
                      <w:szCs w:val="18"/>
                    </w:rPr>
                  </w:pPr>
                  <w:r>
                    <w:rPr>
                      <w:rFonts w:hint="eastAsia"/>
                      <w:color w:val="auto"/>
                      <w:sz w:val="18"/>
                      <w:szCs w:val="18"/>
                    </w:rPr>
                    <w:t>1.03</w:t>
                  </w:r>
                </w:p>
              </w:tc>
              <w:tc>
                <w:tcPr>
                  <w:tcW w:w="601" w:type="dxa"/>
                  <w:vMerge w:val="continue"/>
                  <w:tcMar>
                    <w:left w:w="28" w:type="dxa"/>
                    <w:right w:w="28" w:type="dxa"/>
                  </w:tcMar>
                  <w:vAlign w:val="center"/>
                </w:tcPr>
                <w:p>
                  <w:pPr>
                    <w:jc w:val="center"/>
                    <w:rPr>
                      <w:color w:val="auto"/>
                      <w:sz w:val="18"/>
                      <w:szCs w:val="18"/>
                    </w:rPr>
                  </w:pPr>
                </w:p>
              </w:tc>
              <w:tc>
                <w:tcPr>
                  <w:tcW w:w="601" w:type="dxa"/>
                  <w:vMerge w:val="continue"/>
                  <w:tcMar>
                    <w:left w:w="28" w:type="dxa"/>
                    <w:right w:w="28" w:type="dxa"/>
                  </w:tcMar>
                  <w:vAlign w:val="center"/>
                </w:tcPr>
                <w:p>
                  <w:pPr>
                    <w:jc w:val="center"/>
                    <w:rPr>
                      <w:color w:val="auto"/>
                      <w:sz w:val="18"/>
                      <w:szCs w:val="18"/>
                    </w:rPr>
                  </w:pPr>
                </w:p>
              </w:tc>
              <w:tc>
                <w:tcPr>
                  <w:tcW w:w="640" w:type="dxa"/>
                  <w:vMerge w:val="continue"/>
                  <w:tcMar>
                    <w:left w:w="28" w:type="dxa"/>
                    <w:right w:w="28" w:type="dxa"/>
                  </w:tcMar>
                  <w:vAlign w:val="center"/>
                </w:tcPr>
                <w:p>
                  <w:pPr>
                    <w:jc w:val="center"/>
                    <w:rPr>
                      <w:color w:val="auto"/>
                      <w:sz w:val="18"/>
                      <w:szCs w:val="18"/>
                    </w:rPr>
                  </w:pPr>
                </w:p>
              </w:tc>
            </w:tr>
          </w:tbl>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2 \* GB2</w:instrText>
            </w:r>
            <w:r>
              <w:rPr>
                <w:color w:val="auto"/>
                <w:sz w:val="24"/>
                <w:szCs w:val="24"/>
              </w:rPr>
              <w:instrText xml:space="preserve"> </w:instrText>
            </w:r>
            <w:r>
              <w:rPr>
                <w:color w:val="auto"/>
                <w:sz w:val="24"/>
                <w:szCs w:val="24"/>
              </w:rPr>
              <w:fldChar w:fldCharType="separate"/>
            </w:r>
            <w:r>
              <w:rPr>
                <w:rFonts w:hint="eastAsia"/>
                <w:color w:val="auto"/>
                <w:sz w:val="24"/>
                <w:szCs w:val="24"/>
              </w:rPr>
              <w:t>⑵</w:t>
            </w:r>
            <w:r>
              <w:rPr>
                <w:color w:val="auto"/>
                <w:sz w:val="24"/>
                <w:szCs w:val="24"/>
              </w:rPr>
              <w:fldChar w:fldCharType="end"/>
            </w:r>
            <w:r>
              <w:rPr>
                <w:rFonts w:hint="eastAsia"/>
                <w:color w:val="auto"/>
                <w:sz w:val="24"/>
                <w:szCs w:val="24"/>
              </w:rPr>
              <w:t>无组织废气</w:t>
            </w:r>
          </w:p>
          <w:p>
            <w:pPr>
              <w:spacing w:line="360" w:lineRule="auto"/>
              <w:ind w:firstLine="480" w:firstLineChars="200"/>
              <w:rPr>
                <w:color w:val="auto"/>
                <w:sz w:val="24"/>
                <w:szCs w:val="24"/>
              </w:rPr>
            </w:pPr>
            <w:r>
              <w:rPr>
                <w:rFonts w:hint="eastAsia"/>
                <w:color w:val="auto"/>
                <w:sz w:val="24"/>
                <w:szCs w:val="24"/>
              </w:rPr>
              <w:t>无组织废气主要来自氨区，项目配置2个氨区，每个氨区各设置50m</w:t>
            </w:r>
            <w:r>
              <w:rPr>
                <w:rFonts w:hint="eastAsia"/>
                <w:color w:val="auto"/>
                <w:sz w:val="24"/>
                <w:szCs w:val="24"/>
                <w:vertAlign w:val="superscript"/>
              </w:rPr>
              <w:t>3</w:t>
            </w:r>
            <w:r>
              <w:rPr>
                <w:rFonts w:hint="eastAsia"/>
                <w:color w:val="auto"/>
                <w:sz w:val="24"/>
                <w:szCs w:val="24"/>
              </w:rPr>
              <w:t>浓氨罐1个，50m</w:t>
            </w:r>
            <w:r>
              <w:rPr>
                <w:rFonts w:hint="eastAsia"/>
                <w:color w:val="auto"/>
                <w:sz w:val="24"/>
                <w:szCs w:val="24"/>
                <w:vertAlign w:val="superscript"/>
              </w:rPr>
              <w:t>3</w:t>
            </w:r>
            <w:r>
              <w:rPr>
                <w:rFonts w:hint="eastAsia"/>
                <w:color w:val="auto"/>
                <w:sz w:val="24"/>
                <w:szCs w:val="24"/>
              </w:rPr>
              <w:t>稀氨罐2个，均为压力储罐，储存过程中不存在大小呼吸损失，装卸过程会产生少量无组织废气，因项目使用的脱硫剂为3%稀氨水，无组织废气产生量按照使用量的0.1‰进行估算，项目氨水使用量1850t/a，计算得氨区无组织排放量为0.185t/a，2个氨区完全相同，各氨区氨无组织排放量为0.0925t/a。</w:t>
            </w:r>
          </w:p>
          <w:p>
            <w:pPr>
              <w:spacing w:line="360" w:lineRule="auto"/>
              <w:ind w:firstLine="480" w:firstLineChars="200"/>
              <w:rPr>
                <w:color w:val="auto"/>
                <w:sz w:val="24"/>
                <w:szCs w:val="24"/>
              </w:rPr>
            </w:pPr>
            <w:r>
              <w:rPr>
                <w:color w:val="auto"/>
                <w:sz w:val="24"/>
                <w:szCs w:val="24"/>
              </w:rPr>
              <w:t>2、噪声</w:t>
            </w:r>
          </w:p>
          <w:p>
            <w:pPr>
              <w:spacing w:line="360" w:lineRule="auto"/>
              <w:ind w:firstLine="480" w:firstLineChars="200"/>
              <w:rPr>
                <w:color w:val="auto"/>
                <w:kern w:val="0"/>
                <w:sz w:val="24"/>
                <w:szCs w:val="24"/>
              </w:rPr>
            </w:pPr>
            <w:r>
              <w:rPr>
                <w:rFonts w:hint="eastAsia"/>
                <w:color w:val="auto"/>
                <w:kern w:val="0"/>
                <w:sz w:val="24"/>
                <w:szCs w:val="24"/>
              </w:rPr>
              <w:t>项目噪声源主要为供、储氨系统的清水泵、卸氨泵、配氨泵和喷氨泵以及空压机等，</w:t>
            </w:r>
            <w:r>
              <w:rPr>
                <w:color w:val="auto"/>
                <w:kern w:val="0"/>
                <w:sz w:val="24"/>
                <w:szCs w:val="24"/>
              </w:rPr>
              <w:t>单机噪声源源强在70～</w:t>
            </w:r>
            <w:r>
              <w:rPr>
                <w:rFonts w:hint="eastAsia"/>
                <w:color w:val="auto"/>
                <w:kern w:val="0"/>
                <w:sz w:val="24"/>
                <w:szCs w:val="24"/>
              </w:rPr>
              <w:t>8</w:t>
            </w:r>
            <w:r>
              <w:rPr>
                <w:color w:val="auto"/>
                <w:kern w:val="0"/>
                <w:sz w:val="24"/>
                <w:szCs w:val="24"/>
              </w:rPr>
              <w:t>5dB(A)之间，具体见表</w:t>
            </w:r>
            <w:r>
              <w:rPr>
                <w:rFonts w:hint="eastAsia"/>
                <w:color w:val="auto"/>
                <w:kern w:val="0"/>
                <w:sz w:val="24"/>
                <w:szCs w:val="24"/>
              </w:rPr>
              <w:t>1</w:t>
            </w:r>
            <w:r>
              <w:rPr>
                <w:color w:val="auto"/>
                <w:kern w:val="0"/>
                <w:sz w:val="24"/>
                <w:szCs w:val="24"/>
              </w:rPr>
              <w:t>9。</w:t>
            </w:r>
          </w:p>
          <w:p>
            <w:pPr>
              <w:spacing w:line="360" w:lineRule="auto"/>
              <w:jc w:val="center"/>
              <w:rPr>
                <w:rFonts w:eastAsia="黑体"/>
                <w:color w:val="auto"/>
                <w:kern w:val="0"/>
                <w:sz w:val="24"/>
                <w:szCs w:val="24"/>
              </w:rPr>
            </w:pPr>
            <w:r>
              <w:rPr>
                <w:rFonts w:eastAsia="黑体"/>
                <w:color w:val="auto"/>
                <w:kern w:val="0"/>
                <w:sz w:val="24"/>
                <w:szCs w:val="24"/>
              </w:rPr>
              <w:t>表</w:t>
            </w:r>
            <w:r>
              <w:rPr>
                <w:rFonts w:hint="eastAsia" w:eastAsia="黑体"/>
                <w:color w:val="auto"/>
                <w:kern w:val="0"/>
                <w:sz w:val="24"/>
                <w:szCs w:val="24"/>
              </w:rPr>
              <w:t>1</w:t>
            </w:r>
            <w:r>
              <w:rPr>
                <w:rFonts w:eastAsia="黑体"/>
                <w:color w:val="auto"/>
                <w:kern w:val="0"/>
                <w:sz w:val="24"/>
                <w:szCs w:val="24"/>
              </w:rPr>
              <w:t>9</w:t>
            </w:r>
            <w:r>
              <w:rPr>
                <w:rFonts w:hint="eastAsia" w:eastAsia="黑体"/>
                <w:color w:val="auto"/>
                <w:kern w:val="0"/>
                <w:sz w:val="24"/>
                <w:szCs w:val="24"/>
              </w:rPr>
              <w:t xml:space="preserve"> </w:t>
            </w:r>
            <w:r>
              <w:rPr>
                <w:rFonts w:eastAsia="黑体"/>
                <w:color w:val="auto"/>
                <w:kern w:val="0"/>
                <w:sz w:val="24"/>
                <w:szCs w:val="24"/>
              </w:rPr>
              <w:t xml:space="preserve"> 项目噪声污染源一览表</w:t>
            </w:r>
          </w:p>
          <w:tbl>
            <w:tblPr>
              <w:tblStyle w:val="26"/>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510"/>
              <w:gridCol w:w="960"/>
              <w:gridCol w:w="1863"/>
              <w:gridCol w:w="1502"/>
              <w:gridCol w:w="2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序号</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声源名称</w:t>
                  </w:r>
                </w:p>
              </w:tc>
              <w:tc>
                <w:tcPr>
                  <w:tcW w:w="96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数量</w:t>
                  </w:r>
                </w:p>
              </w:tc>
              <w:tc>
                <w:tcPr>
                  <w:tcW w:w="186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运行工况</w:t>
                  </w:r>
                </w:p>
              </w:tc>
              <w:tc>
                <w:tcPr>
                  <w:tcW w:w="1502"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治理措施</w:t>
                  </w: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治理后声级dB（A）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1</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空压机</w:t>
                  </w:r>
                </w:p>
              </w:tc>
              <w:tc>
                <w:tcPr>
                  <w:tcW w:w="96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3</w:t>
                  </w:r>
                </w:p>
              </w:tc>
              <w:tc>
                <w:tcPr>
                  <w:tcW w:w="186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间断</w:t>
                  </w:r>
                </w:p>
              </w:tc>
              <w:tc>
                <w:tcPr>
                  <w:tcW w:w="1502"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减震安装</w:t>
                  </w: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9</w:t>
                  </w:r>
                  <w:r>
                    <w:rPr>
                      <w:color w:val="auto"/>
                    </w:rPr>
                    <w:t>0</w:t>
                  </w:r>
                  <w:r>
                    <w:rPr>
                      <w:rFonts w:hint="eastAsia"/>
                      <w:color w:val="auto"/>
                    </w:rPr>
                    <w:t>~</w:t>
                  </w:r>
                  <w:r>
                    <w:rPr>
                      <w:color w:val="auto"/>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2</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清</w:t>
                  </w:r>
                  <w:r>
                    <w:rPr>
                      <w:color w:val="auto"/>
                    </w:rPr>
                    <w:t>水泵</w:t>
                  </w:r>
                </w:p>
              </w:tc>
              <w:tc>
                <w:tcPr>
                  <w:tcW w:w="96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1</w:t>
                  </w:r>
                </w:p>
              </w:tc>
              <w:tc>
                <w:tcPr>
                  <w:tcW w:w="186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连续</w:t>
                  </w:r>
                </w:p>
              </w:tc>
              <w:tc>
                <w:tcPr>
                  <w:tcW w:w="1502"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减震安装</w:t>
                  </w: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70~75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3</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卸氨泵</w:t>
                  </w:r>
                </w:p>
              </w:tc>
              <w:tc>
                <w:tcPr>
                  <w:tcW w:w="96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1</w:t>
                  </w:r>
                </w:p>
              </w:tc>
              <w:tc>
                <w:tcPr>
                  <w:tcW w:w="186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连续</w:t>
                  </w:r>
                </w:p>
              </w:tc>
              <w:tc>
                <w:tcPr>
                  <w:tcW w:w="1502"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减震安装</w:t>
                  </w: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70~78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4</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配氨泵</w:t>
                  </w:r>
                </w:p>
              </w:tc>
              <w:tc>
                <w:tcPr>
                  <w:tcW w:w="96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3</w:t>
                  </w:r>
                </w:p>
              </w:tc>
              <w:tc>
                <w:tcPr>
                  <w:tcW w:w="186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连续</w:t>
                  </w:r>
                </w:p>
              </w:tc>
              <w:tc>
                <w:tcPr>
                  <w:tcW w:w="1502"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减震安装</w:t>
                  </w: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70~75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5</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喷氨</w:t>
                  </w:r>
                  <w:r>
                    <w:rPr>
                      <w:color w:val="auto"/>
                    </w:rPr>
                    <w:t>泵</w:t>
                  </w:r>
                </w:p>
              </w:tc>
              <w:tc>
                <w:tcPr>
                  <w:tcW w:w="96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3</w:t>
                  </w:r>
                </w:p>
              </w:tc>
              <w:tc>
                <w:tcPr>
                  <w:tcW w:w="186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连续</w:t>
                  </w:r>
                </w:p>
              </w:tc>
              <w:tc>
                <w:tcPr>
                  <w:tcW w:w="1502"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减震安装</w:t>
                  </w: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70~75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6</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吸收塔</w:t>
                  </w:r>
                </w:p>
              </w:tc>
              <w:tc>
                <w:tcPr>
                  <w:tcW w:w="96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3</w:t>
                  </w:r>
                </w:p>
              </w:tc>
              <w:tc>
                <w:tcPr>
                  <w:tcW w:w="186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连续</w:t>
                  </w:r>
                </w:p>
              </w:tc>
              <w:tc>
                <w:tcPr>
                  <w:tcW w:w="1502"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减震安装</w:t>
                  </w: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80</w:t>
                  </w:r>
                  <w:r>
                    <w:rPr>
                      <w:rFonts w:hint="eastAsia"/>
                      <w:color w:val="auto"/>
                    </w:rPr>
                    <w:t>~</w:t>
                  </w:r>
                  <w:r>
                    <w:rPr>
                      <w:color w:val="auto"/>
                    </w:rPr>
                    <w:t>85</w:t>
                  </w:r>
                </w:p>
              </w:tc>
            </w:tr>
          </w:tbl>
          <w:p>
            <w:pPr>
              <w:spacing w:line="360" w:lineRule="auto"/>
              <w:ind w:firstLine="482" w:firstLineChars="200"/>
              <w:rPr>
                <w:b/>
                <w:bCs/>
                <w:color w:val="auto"/>
                <w:sz w:val="24"/>
                <w:szCs w:val="24"/>
              </w:rPr>
            </w:pPr>
            <w:r>
              <w:rPr>
                <w:b/>
                <w:bCs/>
                <w:color w:val="auto"/>
                <w:sz w:val="24"/>
                <w:szCs w:val="24"/>
              </w:rPr>
              <w:t>三、</w:t>
            </w:r>
            <w:r>
              <w:rPr>
                <w:rFonts w:hint="eastAsia"/>
                <w:b/>
                <w:bCs/>
                <w:color w:val="auto"/>
                <w:sz w:val="24"/>
                <w:szCs w:val="24"/>
              </w:rPr>
              <w:t>项目改造完成后</w:t>
            </w:r>
            <w:r>
              <w:rPr>
                <w:b/>
                <w:bCs/>
                <w:color w:val="auto"/>
                <w:sz w:val="24"/>
                <w:szCs w:val="24"/>
              </w:rPr>
              <w:t>污染物排放</w:t>
            </w:r>
            <w:r>
              <w:rPr>
                <w:rFonts w:hint="eastAsia"/>
                <w:b/>
                <w:bCs/>
                <w:color w:val="auto"/>
                <w:sz w:val="24"/>
                <w:szCs w:val="24"/>
              </w:rPr>
              <w:t>汇总</w:t>
            </w:r>
          </w:p>
          <w:p>
            <w:pPr>
              <w:spacing w:line="360" w:lineRule="auto"/>
              <w:jc w:val="center"/>
              <w:rPr>
                <w:rFonts w:eastAsia="黑体"/>
                <w:color w:val="auto"/>
                <w:sz w:val="24"/>
                <w:szCs w:val="24"/>
              </w:rPr>
            </w:pPr>
            <w:r>
              <w:rPr>
                <w:rFonts w:eastAsia="黑体"/>
                <w:color w:val="auto"/>
                <w:sz w:val="24"/>
                <w:szCs w:val="24"/>
              </w:rPr>
              <w:t>表20</w:t>
            </w:r>
            <w:r>
              <w:rPr>
                <w:rFonts w:hint="eastAsia" w:eastAsia="黑体"/>
                <w:color w:val="auto"/>
                <w:sz w:val="24"/>
                <w:szCs w:val="24"/>
              </w:rPr>
              <w:t xml:space="preserve"> </w:t>
            </w:r>
            <w:r>
              <w:rPr>
                <w:rFonts w:eastAsia="黑体"/>
                <w:color w:val="auto"/>
                <w:sz w:val="24"/>
                <w:szCs w:val="24"/>
              </w:rPr>
              <w:t xml:space="preserve"> 项目污染物排放</w:t>
            </w:r>
            <w:r>
              <w:rPr>
                <w:rFonts w:hint="eastAsia" w:eastAsia="黑体"/>
                <w:color w:val="auto"/>
                <w:sz w:val="24"/>
                <w:szCs w:val="24"/>
              </w:rPr>
              <w:t>汇总</w:t>
            </w:r>
            <w:r>
              <w:rPr>
                <w:rFonts w:eastAsia="黑体"/>
                <w:color w:val="auto"/>
                <w:sz w:val="24"/>
                <w:szCs w:val="24"/>
              </w:rPr>
              <w:t xml:space="preserve">     单位：t/a</w:t>
            </w:r>
          </w:p>
          <w:tbl>
            <w:tblPr>
              <w:tblStyle w:val="2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766"/>
              <w:gridCol w:w="1657"/>
              <w:gridCol w:w="1609"/>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trPr>
              <w:tc>
                <w:tcPr>
                  <w:tcW w:w="1014"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类别</w:t>
                  </w:r>
                </w:p>
              </w:tc>
              <w:tc>
                <w:tcPr>
                  <w:tcW w:w="276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污染物</w:t>
                  </w:r>
                </w:p>
              </w:tc>
              <w:tc>
                <w:tcPr>
                  <w:tcW w:w="1657"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现有工程排放量</w:t>
                  </w:r>
                </w:p>
              </w:tc>
              <w:tc>
                <w:tcPr>
                  <w:tcW w:w="160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本项目完成后</w:t>
                  </w:r>
                  <w:r>
                    <w:rPr>
                      <w:color w:val="auto"/>
                    </w:rPr>
                    <w:t>排放量</w:t>
                  </w:r>
                </w:p>
              </w:tc>
              <w:tc>
                <w:tcPr>
                  <w:tcW w:w="201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增减量变化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trPr>
              <w:tc>
                <w:tcPr>
                  <w:tcW w:w="1014" w:type="dxa"/>
                  <w:vMerge w:val="restart"/>
                  <w:tcBorders>
                    <w:top w:val="single" w:color="auto" w:sz="4" w:space="0"/>
                    <w:left w:val="single" w:color="auto" w:sz="4" w:space="0"/>
                    <w:right w:val="single" w:color="auto" w:sz="4" w:space="0"/>
                  </w:tcBorders>
                  <w:vAlign w:val="center"/>
                </w:tcPr>
                <w:p>
                  <w:pPr>
                    <w:jc w:val="center"/>
                    <w:rPr>
                      <w:color w:val="auto"/>
                    </w:rPr>
                  </w:pPr>
                  <w:r>
                    <w:rPr>
                      <w:color w:val="auto"/>
                    </w:rPr>
                    <w:t>废气</w:t>
                  </w:r>
                </w:p>
              </w:tc>
              <w:tc>
                <w:tcPr>
                  <w:tcW w:w="2766" w:type="dxa"/>
                  <w:tcBorders>
                    <w:top w:val="single" w:color="auto" w:sz="4" w:space="0"/>
                    <w:left w:val="single" w:color="auto" w:sz="4" w:space="0"/>
                    <w:bottom w:val="single" w:color="auto" w:sz="4" w:space="0"/>
                    <w:right w:val="single" w:color="auto" w:sz="4" w:space="0"/>
                  </w:tcBorders>
                  <w:vAlign w:val="bottom"/>
                </w:tcPr>
                <w:p>
                  <w:pPr>
                    <w:pStyle w:val="60"/>
                    <w:spacing w:line="312" w:lineRule="auto"/>
                    <w:rPr>
                      <w:color w:val="auto"/>
                    </w:rPr>
                  </w:pPr>
                  <w:r>
                    <w:rPr>
                      <w:rFonts w:hint="eastAsia"/>
                      <w:color w:val="auto"/>
                    </w:rPr>
                    <w:t>颗粒物</w:t>
                  </w:r>
                </w:p>
              </w:tc>
              <w:tc>
                <w:tcPr>
                  <w:tcW w:w="16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color w:val="auto"/>
                    </w:rPr>
                    <w:t>45.3</w:t>
                  </w:r>
                </w:p>
              </w:tc>
              <w:tc>
                <w:tcPr>
                  <w:tcW w:w="1609" w:type="dxa"/>
                  <w:tcBorders>
                    <w:top w:val="single" w:color="auto" w:sz="4" w:space="0"/>
                    <w:left w:val="single" w:color="auto" w:sz="4" w:space="0"/>
                    <w:bottom w:val="single" w:color="auto" w:sz="4" w:space="0"/>
                    <w:right w:val="single" w:color="auto" w:sz="4" w:space="0"/>
                  </w:tcBorders>
                  <w:vAlign w:val="bottom"/>
                </w:tcPr>
                <w:p>
                  <w:pPr>
                    <w:spacing w:line="312" w:lineRule="auto"/>
                    <w:jc w:val="center"/>
                    <w:rPr>
                      <w:color w:val="auto"/>
                    </w:rPr>
                  </w:pPr>
                  <w:r>
                    <w:rPr>
                      <w:rFonts w:hint="eastAsia"/>
                      <w:color w:val="auto"/>
                    </w:rPr>
                    <w:t>28.98</w:t>
                  </w:r>
                </w:p>
              </w:tc>
              <w:tc>
                <w:tcPr>
                  <w:tcW w:w="2015" w:type="dxa"/>
                  <w:tcBorders>
                    <w:top w:val="single" w:color="auto" w:sz="4" w:space="0"/>
                    <w:left w:val="single" w:color="auto" w:sz="4" w:space="0"/>
                    <w:bottom w:val="single" w:color="auto" w:sz="4" w:space="0"/>
                    <w:right w:val="single" w:color="auto" w:sz="4" w:space="0"/>
                  </w:tcBorders>
                  <w:vAlign w:val="bottom"/>
                </w:tcPr>
                <w:p>
                  <w:pPr>
                    <w:widowControl/>
                    <w:spacing w:line="312" w:lineRule="auto"/>
                    <w:jc w:val="center"/>
                    <w:rPr>
                      <w:rFonts w:eastAsia="等线"/>
                      <w:color w:val="auto"/>
                      <w:kern w:val="0"/>
                    </w:rPr>
                  </w:pPr>
                  <w:r>
                    <w:rPr>
                      <w:rFonts w:hint="eastAsia" w:eastAsia="等线"/>
                      <w:color w:val="auto"/>
                    </w:rPr>
                    <w:t>-16.32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trPr>
              <w:tc>
                <w:tcPr>
                  <w:tcW w:w="1014" w:type="dxa"/>
                  <w:vMerge w:val="continue"/>
                  <w:tcBorders>
                    <w:left w:val="single" w:color="auto" w:sz="4" w:space="0"/>
                    <w:right w:val="single" w:color="auto" w:sz="4" w:space="0"/>
                  </w:tcBorders>
                  <w:vAlign w:val="center"/>
                </w:tcPr>
                <w:p>
                  <w:pPr>
                    <w:jc w:val="center"/>
                    <w:rPr>
                      <w:color w:val="auto"/>
                    </w:rPr>
                  </w:pPr>
                </w:p>
              </w:tc>
              <w:tc>
                <w:tcPr>
                  <w:tcW w:w="2766" w:type="dxa"/>
                  <w:tcBorders>
                    <w:top w:val="single" w:color="auto" w:sz="4" w:space="0"/>
                    <w:left w:val="single" w:color="auto" w:sz="4" w:space="0"/>
                    <w:bottom w:val="single" w:color="auto" w:sz="4" w:space="0"/>
                    <w:right w:val="single" w:color="auto" w:sz="4" w:space="0"/>
                  </w:tcBorders>
                  <w:vAlign w:val="bottom"/>
                </w:tcPr>
                <w:p>
                  <w:pPr>
                    <w:pStyle w:val="60"/>
                    <w:spacing w:line="312" w:lineRule="auto"/>
                    <w:rPr>
                      <w:color w:val="auto"/>
                    </w:rPr>
                  </w:pPr>
                  <w:r>
                    <w:rPr>
                      <w:color w:val="auto"/>
                    </w:rPr>
                    <w:t>SO</w:t>
                  </w:r>
                  <w:r>
                    <w:rPr>
                      <w:rFonts w:hint="eastAsia"/>
                      <w:color w:val="auto"/>
                      <w:vertAlign w:val="subscript"/>
                    </w:rPr>
                    <w:t>2</w:t>
                  </w:r>
                </w:p>
              </w:tc>
              <w:tc>
                <w:tcPr>
                  <w:tcW w:w="16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color w:val="auto"/>
                    </w:rPr>
                    <w:t>844.67</w:t>
                  </w:r>
                </w:p>
              </w:tc>
              <w:tc>
                <w:tcPr>
                  <w:tcW w:w="1609" w:type="dxa"/>
                  <w:tcBorders>
                    <w:top w:val="single" w:color="auto" w:sz="4" w:space="0"/>
                    <w:left w:val="single" w:color="auto" w:sz="4" w:space="0"/>
                    <w:bottom w:val="single" w:color="auto" w:sz="4" w:space="0"/>
                    <w:right w:val="single" w:color="auto" w:sz="4" w:space="0"/>
                  </w:tcBorders>
                  <w:vAlign w:val="bottom"/>
                </w:tcPr>
                <w:p>
                  <w:pPr>
                    <w:spacing w:line="312" w:lineRule="auto"/>
                    <w:jc w:val="center"/>
                    <w:rPr>
                      <w:color w:val="auto"/>
                    </w:rPr>
                  </w:pPr>
                  <w:r>
                    <w:rPr>
                      <w:rFonts w:hint="eastAsia"/>
                      <w:color w:val="auto"/>
                    </w:rPr>
                    <w:t>168.94</w:t>
                  </w:r>
                </w:p>
              </w:tc>
              <w:tc>
                <w:tcPr>
                  <w:tcW w:w="2015" w:type="dxa"/>
                  <w:tcBorders>
                    <w:top w:val="single" w:color="auto" w:sz="4" w:space="0"/>
                    <w:left w:val="single" w:color="auto" w:sz="4" w:space="0"/>
                    <w:bottom w:val="single" w:color="auto" w:sz="4" w:space="0"/>
                    <w:right w:val="single" w:color="auto" w:sz="4" w:space="0"/>
                  </w:tcBorders>
                  <w:vAlign w:val="bottom"/>
                </w:tcPr>
                <w:p>
                  <w:pPr>
                    <w:spacing w:line="312" w:lineRule="auto"/>
                    <w:jc w:val="center"/>
                    <w:rPr>
                      <w:rFonts w:eastAsia="等线"/>
                      <w:color w:val="auto"/>
                    </w:rPr>
                  </w:pPr>
                  <w:r>
                    <w:rPr>
                      <w:rFonts w:hint="eastAsia" w:eastAsia="等线"/>
                      <w:color w:val="auto"/>
                    </w:rPr>
                    <w:t>-675.73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trPr>
              <w:tc>
                <w:tcPr>
                  <w:tcW w:w="1014" w:type="dxa"/>
                  <w:vMerge w:val="continue"/>
                  <w:tcBorders>
                    <w:left w:val="single" w:color="auto" w:sz="4" w:space="0"/>
                    <w:right w:val="single" w:color="auto" w:sz="4" w:space="0"/>
                  </w:tcBorders>
                  <w:vAlign w:val="center"/>
                </w:tcPr>
                <w:p>
                  <w:pPr>
                    <w:jc w:val="center"/>
                    <w:rPr>
                      <w:color w:val="auto"/>
                    </w:rPr>
                  </w:pPr>
                </w:p>
              </w:tc>
              <w:tc>
                <w:tcPr>
                  <w:tcW w:w="2766" w:type="dxa"/>
                  <w:tcBorders>
                    <w:top w:val="single" w:color="auto" w:sz="4" w:space="0"/>
                    <w:left w:val="single" w:color="auto" w:sz="4" w:space="0"/>
                    <w:bottom w:val="single" w:color="auto" w:sz="4" w:space="0"/>
                    <w:right w:val="single" w:color="auto" w:sz="4" w:space="0"/>
                  </w:tcBorders>
                  <w:vAlign w:val="bottom"/>
                </w:tcPr>
                <w:p>
                  <w:pPr>
                    <w:spacing w:line="312" w:lineRule="auto"/>
                    <w:jc w:val="center"/>
                    <w:rPr>
                      <w:color w:val="auto"/>
                    </w:rPr>
                  </w:pPr>
                  <w:r>
                    <w:rPr>
                      <w:rFonts w:hint="eastAsia"/>
                      <w:color w:val="auto"/>
                    </w:rPr>
                    <w:t>N</w:t>
                  </w:r>
                  <w:r>
                    <w:rPr>
                      <w:color w:val="auto"/>
                    </w:rPr>
                    <w:t>O</w:t>
                  </w:r>
                  <w:r>
                    <w:rPr>
                      <w:color w:val="auto"/>
                      <w:vertAlign w:val="subscript"/>
                    </w:rPr>
                    <w:t>X</w:t>
                  </w:r>
                </w:p>
              </w:tc>
              <w:tc>
                <w:tcPr>
                  <w:tcW w:w="16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color w:val="auto"/>
                    </w:rPr>
                    <w:t>718.82</w:t>
                  </w:r>
                </w:p>
              </w:tc>
              <w:tc>
                <w:tcPr>
                  <w:tcW w:w="1609" w:type="dxa"/>
                  <w:tcBorders>
                    <w:top w:val="single" w:color="auto" w:sz="4" w:space="0"/>
                    <w:left w:val="single" w:color="auto" w:sz="4" w:space="0"/>
                    <w:bottom w:val="single" w:color="auto" w:sz="4" w:space="0"/>
                    <w:right w:val="single" w:color="auto" w:sz="4" w:space="0"/>
                  </w:tcBorders>
                  <w:vAlign w:val="bottom"/>
                </w:tcPr>
                <w:p>
                  <w:pPr>
                    <w:spacing w:line="312" w:lineRule="auto"/>
                    <w:jc w:val="center"/>
                    <w:rPr>
                      <w:color w:val="auto"/>
                    </w:rPr>
                  </w:pPr>
                  <w:r>
                    <w:rPr>
                      <w:rFonts w:hint="eastAsia"/>
                      <w:color w:val="auto"/>
                    </w:rPr>
                    <w:t>7</w:t>
                  </w:r>
                  <w:r>
                    <w:rPr>
                      <w:color w:val="auto"/>
                    </w:rPr>
                    <w:t>18.</w:t>
                  </w:r>
                  <w:r>
                    <w:rPr>
                      <w:rFonts w:hint="eastAsia"/>
                      <w:color w:val="auto"/>
                    </w:rPr>
                    <w:t>82</w:t>
                  </w:r>
                </w:p>
              </w:tc>
              <w:tc>
                <w:tcPr>
                  <w:tcW w:w="2015" w:type="dxa"/>
                  <w:tcBorders>
                    <w:top w:val="single" w:color="auto" w:sz="4" w:space="0"/>
                    <w:left w:val="single" w:color="auto" w:sz="4" w:space="0"/>
                    <w:bottom w:val="single" w:color="auto" w:sz="4" w:space="0"/>
                    <w:right w:val="single" w:color="auto" w:sz="4" w:space="0"/>
                  </w:tcBorders>
                  <w:vAlign w:val="bottom"/>
                </w:tcPr>
                <w:p>
                  <w:pPr>
                    <w:spacing w:line="312" w:lineRule="auto"/>
                    <w:jc w:val="center"/>
                    <w:rPr>
                      <w:rFonts w:eastAsia="等线"/>
                      <w:color w:val="auto"/>
                    </w:rPr>
                  </w:pPr>
                  <w:r>
                    <w:rPr>
                      <w:rFonts w:hint="eastAsia" w:eastAsia="等线"/>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trPr>
              <w:tc>
                <w:tcPr>
                  <w:tcW w:w="1014" w:type="dxa"/>
                  <w:vMerge w:val="continue"/>
                  <w:tcBorders>
                    <w:left w:val="single" w:color="auto" w:sz="4" w:space="0"/>
                    <w:bottom w:val="single" w:color="auto" w:sz="4" w:space="0"/>
                    <w:right w:val="single" w:color="auto" w:sz="4" w:space="0"/>
                  </w:tcBorders>
                  <w:vAlign w:val="center"/>
                </w:tcPr>
                <w:p>
                  <w:pPr>
                    <w:jc w:val="center"/>
                    <w:rPr>
                      <w:color w:val="auto"/>
                    </w:rPr>
                  </w:pPr>
                </w:p>
              </w:tc>
              <w:tc>
                <w:tcPr>
                  <w:tcW w:w="2766" w:type="dxa"/>
                  <w:tcBorders>
                    <w:top w:val="single" w:color="auto" w:sz="4" w:space="0"/>
                    <w:left w:val="single" w:color="auto" w:sz="4" w:space="0"/>
                    <w:bottom w:val="single" w:color="auto" w:sz="4" w:space="0"/>
                    <w:right w:val="single" w:color="auto" w:sz="4" w:space="0"/>
                  </w:tcBorders>
                  <w:vAlign w:val="bottom"/>
                </w:tcPr>
                <w:p>
                  <w:pPr>
                    <w:spacing w:line="312" w:lineRule="auto"/>
                    <w:jc w:val="center"/>
                    <w:rPr>
                      <w:color w:val="auto"/>
                    </w:rPr>
                  </w:pPr>
                  <w:r>
                    <w:rPr>
                      <w:color w:val="auto"/>
                    </w:rPr>
                    <w:t>NH</w:t>
                  </w:r>
                  <w:r>
                    <w:rPr>
                      <w:color w:val="auto"/>
                      <w:vertAlign w:val="subscript"/>
                    </w:rPr>
                    <w:t>3</w:t>
                  </w:r>
                </w:p>
              </w:tc>
              <w:tc>
                <w:tcPr>
                  <w:tcW w:w="1657" w:type="dxa"/>
                  <w:tcBorders>
                    <w:top w:val="single" w:color="auto" w:sz="4" w:space="0"/>
                    <w:left w:val="single" w:color="auto" w:sz="4" w:space="0"/>
                    <w:bottom w:val="single" w:color="auto" w:sz="4" w:space="0"/>
                    <w:right w:val="single" w:color="auto" w:sz="4" w:space="0"/>
                  </w:tcBorders>
                  <w:vAlign w:val="bottom"/>
                </w:tcPr>
                <w:p>
                  <w:pPr>
                    <w:spacing w:line="312" w:lineRule="auto"/>
                    <w:jc w:val="center"/>
                    <w:rPr>
                      <w:color w:val="auto"/>
                    </w:rPr>
                  </w:pPr>
                  <w:r>
                    <w:rPr>
                      <w:color w:val="auto"/>
                    </w:rPr>
                    <w:t>0</w:t>
                  </w:r>
                </w:p>
              </w:tc>
              <w:tc>
                <w:tcPr>
                  <w:tcW w:w="1609" w:type="dxa"/>
                  <w:tcBorders>
                    <w:top w:val="single" w:color="auto" w:sz="4" w:space="0"/>
                    <w:left w:val="single" w:color="auto" w:sz="4" w:space="0"/>
                    <w:bottom w:val="single" w:color="auto" w:sz="4" w:space="0"/>
                    <w:right w:val="single" w:color="auto" w:sz="4" w:space="0"/>
                  </w:tcBorders>
                  <w:vAlign w:val="bottom"/>
                </w:tcPr>
                <w:p>
                  <w:pPr>
                    <w:spacing w:line="312" w:lineRule="auto"/>
                    <w:jc w:val="center"/>
                    <w:rPr>
                      <w:color w:val="auto"/>
                    </w:rPr>
                  </w:pPr>
                  <w:r>
                    <w:rPr>
                      <w:rFonts w:hint="eastAsia"/>
                      <w:color w:val="auto"/>
                    </w:rPr>
                    <w:t>9.63</w:t>
                  </w:r>
                </w:p>
              </w:tc>
              <w:tc>
                <w:tcPr>
                  <w:tcW w:w="2015" w:type="dxa"/>
                  <w:tcBorders>
                    <w:top w:val="single" w:color="auto" w:sz="4" w:space="0"/>
                    <w:left w:val="single" w:color="auto" w:sz="4" w:space="0"/>
                    <w:bottom w:val="single" w:color="auto" w:sz="4" w:space="0"/>
                    <w:right w:val="single" w:color="auto" w:sz="4" w:space="0"/>
                  </w:tcBorders>
                  <w:vAlign w:val="bottom"/>
                </w:tcPr>
                <w:p>
                  <w:pPr>
                    <w:spacing w:line="312" w:lineRule="auto"/>
                    <w:jc w:val="center"/>
                    <w:rPr>
                      <w:color w:val="auto"/>
                    </w:rPr>
                  </w:pPr>
                  <w:r>
                    <w:rPr>
                      <w:rFonts w:hint="eastAsia"/>
                      <w:color w:val="auto"/>
                    </w:rPr>
                    <w:t>+</w:t>
                  </w:r>
                  <w:r>
                    <w:rPr>
                      <w:color w:val="auto"/>
                    </w:rPr>
                    <w:t>9.63</w:t>
                  </w:r>
                </w:p>
              </w:tc>
            </w:tr>
          </w:tbl>
          <w:p>
            <w:pPr>
              <w:spacing w:line="360" w:lineRule="auto"/>
              <w:ind w:firstLine="480" w:firstLineChars="200"/>
              <w:rPr>
                <w:color w:val="auto"/>
                <w:kern w:val="0"/>
                <w:sz w:val="24"/>
                <w:szCs w:val="24"/>
              </w:rPr>
            </w:pPr>
            <w:r>
              <w:rPr>
                <w:rFonts w:hint="eastAsia"/>
                <w:color w:val="auto"/>
                <w:kern w:val="0"/>
                <w:sz w:val="24"/>
                <w:szCs w:val="24"/>
              </w:rPr>
              <w:t>由表</w:t>
            </w:r>
            <w:r>
              <w:rPr>
                <w:color w:val="auto"/>
                <w:kern w:val="0"/>
                <w:sz w:val="24"/>
                <w:szCs w:val="24"/>
              </w:rPr>
              <w:t>20</w:t>
            </w:r>
            <w:r>
              <w:rPr>
                <w:rFonts w:hint="eastAsia"/>
                <w:color w:val="auto"/>
                <w:kern w:val="0"/>
                <w:sz w:val="24"/>
                <w:szCs w:val="24"/>
              </w:rPr>
              <w:t>可以看出，本项目建成后，采用氨法脱硫过程中氨逃逸增加污染物N</w:t>
            </w:r>
            <w:r>
              <w:rPr>
                <w:color w:val="auto"/>
                <w:kern w:val="0"/>
                <w:sz w:val="24"/>
                <w:szCs w:val="24"/>
              </w:rPr>
              <w:t>H</w:t>
            </w:r>
            <w:r>
              <w:rPr>
                <w:color w:val="auto"/>
                <w:kern w:val="0"/>
                <w:sz w:val="24"/>
                <w:szCs w:val="24"/>
                <w:vertAlign w:val="subscript"/>
              </w:rPr>
              <w:t>3</w:t>
            </w:r>
            <w:r>
              <w:rPr>
                <w:rFonts w:hint="eastAsia"/>
                <w:color w:val="auto"/>
                <w:kern w:val="0"/>
                <w:sz w:val="24"/>
                <w:szCs w:val="24"/>
              </w:rPr>
              <w:t>排放量9</w:t>
            </w:r>
            <w:r>
              <w:rPr>
                <w:color w:val="auto"/>
                <w:kern w:val="0"/>
                <w:sz w:val="24"/>
                <w:szCs w:val="24"/>
              </w:rPr>
              <w:t>.63</w:t>
            </w:r>
            <w:r>
              <w:rPr>
                <w:rFonts w:hint="eastAsia"/>
                <w:color w:val="auto"/>
                <w:kern w:val="0"/>
                <w:sz w:val="24"/>
                <w:szCs w:val="24"/>
              </w:rPr>
              <w:t>t</w:t>
            </w:r>
            <w:r>
              <w:rPr>
                <w:color w:val="auto"/>
                <w:kern w:val="0"/>
                <w:sz w:val="24"/>
                <w:szCs w:val="24"/>
              </w:rPr>
              <w:t>/</w:t>
            </w:r>
            <w:r>
              <w:rPr>
                <w:rFonts w:hint="eastAsia"/>
                <w:color w:val="auto"/>
                <w:kern w:val="0"/>
                <w:sz w:val="24"/>
                <w:szCs w:val="24"/>
              </w:rPr>
              <w:t>a，3套脱硫除尘系统可减少颗粒物排放量16.32t</w:t>
            </w:r>
            <w:r>
              <w:rPr>
                <w:color w:val="auto"/>
                <w:kern w:val="0"/>
                <w:sz w:val="24"/>
                <w:szCs w:val="24"/>
              </w:rPr>
              <w:t>/</w:t>
            </w:r>
            <w:r>
              <w:rPr>
                <w:rFonts w:hint="eastAsia"/>
                <w:color w:val="auto"/>
                <w:kern w:val="0"/>
                <w:sz w:val="24"/>
                <w:szCs w:val="24"/>
              </w:rPr>
              <w:t>a，减少S</w:t>
            </w:r>
            <w:r>
              <w:rPr>
                <w:color w:val="auto"/>
                <w:kern w:val="0"/>
                <w:sz w:val="24"/>
                <w:szCs w:val="24"/>
              </w:rPr>
              <w:t>O</w:t>
            </w:r>
            <w:r>
              <w:rPr>
                <w:color w:val="auto"/>
                <w:kern w:val="0"/>
                <w:sz w:val="24"/>
                <w:szCs w:val="24"/>
                <w:vertAlign w:val="subscript"/>
              </w:rPr>
              <w:t>2</w:t>
            </w:r>
            <w:r>
              <w:rPr>
                <w:rFonts w:hint="eastAsia"/>
                <w:color w:val="auto"/>
                <w:kern w:val="0"/>
                <w:sz w:val="24"/>
                <w:szCs w:val="24"/>
              </w:rPr>
              <w:t>排放量675.73t</w:t>
            </w:r>
            <w:r>
              <w:rPr>
                <w:color w:val="auto"/>
                <w:kern w:val="0"/>
                <w:sz w:val="24"/>
                <w:szCs w:val="24"/>
              </w:rPr>
              <w:t>/</w:t>
            </w:r>
            <w:r>
              <w:rPr>
                <w:rFonts w:hint="eastAsia"/>
                <w:color w:val="auto"/>
                <w:kern w:val="0"/>
                <w:sz w:val="24"/>
                <w:szCs w:val="24"/>
              </w:rPr>
              <w:t>a。</w:t>
            </w:r>
          </w:p>
          <w:p>
            <w:pPr>
              <w:spacing w:line="360" w:lineRule="auto"/>
              <w:rPr>
                <w:color w:val="auto"/>
                <w:kern w:val="0"/>
                <w:sz w:val="24"/>
                <w:szCs w:val="24"/>
              </w:rPr>
            </w:pPr>
          </w:p>
          <w:p>
            <w:pPr>
              <w:spacing w:line="360" w:lineRule="auto"/>
              <w:rPr>
                <w:color w:val="auto"/>
                <w:kern w:val="0"/>
                <w:sz w:val="24"/>
                <w:szCs w:val="24"/>
              </w:rPr>
            </w:pPr>
          </w:p>
          <w:p>
            <w:pPr>
              <w:spacing w:line="360" w:lineRule="auto"/>
              <w:rPr>
                <w:color w:val="auto"/>
                <w:kern w:val="0"/>
                <w:sz w:val="24"/>
                <w:szCs w:val="24"/>
              </w:rPr>
            </w:pPr>
          </w:p>
          <w:p>
            <w:pPr>
              <w:spacing w:line="360" w:lineRule="auto"/>
              <w:rPr>
                <w:color w:val="auto"/>
                <w:kern w:val="0"/>
                <w:sz w:val="24"/>
                <w:szCs w:val="24"/>
              </w:rPr>
            </w:pPr>
          </w:p>
          <w:p>
            <w:pPr>
              <w:spacing w:line="360" w:lineRule="auto"/>
              <w:rPr>
                <w:color w:val="auto"/>
                <w:kern w:val="0"/>
                <w:sz w:val="24"/>
                <w:szCs w:val="24"/>
              </w:rPr>
            </w:pPr>
          </w:p>
          <w:p>
            <w:pPr>
              <w:spacing w:line="360" w:lineRule="auto"/>
              <w:rPr>
                <w:color w:val="auto"/>
                <w:kern w:val="0"/>
                <w:sz w:val="24"/>
                <w:szCs w:val="24"/>
              </w:rPr>
            </w:pPr>
          </w:p>
          <w:p>
            <w:pPr>
              <w:spacing w:line="360" w:lineRule="auto"/>
              <w:rPr>
                <w:color w:val="auto"/>
                <w:kern w:val="0"/>
                <w:sz w:val="24"/>
                <w:szCs w:val="24"/>
              </w:rPr>
            </w:pPr>
          </w:p>
          <w:p>
            <w:pPr>
              <w:spacing w:line="360" w:lineRule="auto"/>
              <w:rPr>
                <w:color w:val="auto"/>
                <w:kern w:val="0"/>
                <w:sz w:val="24"/>
                <w:szCs w:val="24"/>
              </w:rPr>
            </w:pPr>
          </w:p>
        </w:tc>
      </w:tr>
    </w:tbl>
    <w:p>
      <w:pPr>
        <w:outlineLvl w:val="0"/>
        <w:rPr>
          <w:rFonts w:eastAsia="黑体"/>
          <w:color w:val="auto"/>
          <w:sz w:val="30"/>
          <w:szCs w:val="30"/>
        </w:rPr>
      </w:pPr>
      <w:r>
        <w:rPr>
          <w:rFonts w:eastAsia="黑体"/>
          <w:color w:val="auto"/>
          <w:sz w:val="30"/>
          <w:szCs w:val="30"/>
        </w:rPr>
        <w:t>项目主要污染物产生及预计排放情况</w:t>
      </w:r>
    </w:p>
    <w:tbl>
      <w:tblPr>
        <w:tblStyle w:val="26"/>
        <w:tblW w:w="88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53"/>
        <w:gridCol w:w="1528"/>
        <w:gridCol w:w="1134"/>
        <w:gridCol w:w="2551"/>
        <w:gridCol w:w="2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43" w:hRule="atLeast"/>
          <w:jc w:val="center"/>
        </w:trPr>
        <w:tc>
          <w:tcPr>
            <w:tcW w:w="1053" w:type="dxa"/>
            <w:tcBorders>
              <w:top w:val="single" w:color="auto" w:sz="12" w:space="0"/>
              <w:left w:val="single" w:color="auto" w:sz="12" w:space="0"/>
              <w:bottom w:val="single" w:color="auto" w:sz="4" w:space="0"/>
              <w:right w:val="single" w:color="auto" w:sz="4" w:space="0"/>
              <w:tl2br w:val="single" w:color="auto" w:sz="4" w:space="0"/>
            </w:tcBorders>
            <w:vAlign w:val="center"/>
          </w:tcPr>
          <w:p>
            <w:pPr>
              <w:jc w:val="center"/>
              <w:rPr>
                <w:color w:val="auto"/>
                <w:sz w:val="24"/>
                <w:szCs w:val="24"/>
              </w:rPr>
            </w:pPr>
            <w:r>
              <w:rPr>
                <w:color w:val="auto"/>
                <w:sz w:val="24"/>
                <w:szCs w:val="24"/>
              </w:rPr>
              <w:t>内容</w:t>
            </w:r>
          </w:p>
          <w:p>
            <w:pPr>
              <w:jc w:val="center"/>
              <w:rPr>
                <w:color w:val="auto"/>
                <w:sz w:val="24"/>
                <w:szCs w:val="24"/>
              </w:rPr>
            </w:pPr>
          </w:p>
          <w:p>
            <w:pPr>
              <w:rPr>
                <w:color w:val="auto"/>
                <w:sz w:val="24"/>
                <w:szCs w:val="24"/>
              </w:rPr>
            </w:pPr>
            <w:r>
              <w:rPr>
                <w:color w:val="auto"/>
                <w:sz w:val="24"/>
                <w:szCs w:val="24"/>
              </w:rPr>
              <w:t>类型</w:t>
            </w:r>
          </w:p>
        </w:tc>
        <w:tc>
          <w:tcPr>
            <w:tcW w:w="1528" w:type="dxa"/>
            <w:tcBorders>
              <w:top w:val="single" w:color="auto" w:sz="12" w:space="0"/>
              <w:left w:val="single" w:color="auto" w:sz="4" w:space="0"/>
              <w:bottom w:val="single" w:color="auto" w:sz="4" w:space="0"/>
              <w:right w:val="single" w:color="auto" w:sz="4" w:space="0"/>
            </w:tcBorders>
            <w:vAlign w:val="center"/>
          </w:tcPr>
          <w:p>
            <w:pPr>
              <w:jc w:val="center"/>
              <w:rPr>
                <w:color w:val="auto"/>
                <w:sz w:val="24"/>
                <w:szCs w:val="24"/>
              </w:rPr>
            </w:pPr>
            <w:r>
              <w:rPr>
                <w:color w:val="auto"/>
                <w:sz w:val="24"/>
                <w:szCs w:val="24"/>
              </w:rPr>
              <w:t>排放源</w:t>
            </w:r>
          </w:p>
          <w:p>
            <w:pPr>
              <w:jc w:val="center"/>
              <w:rPr>
                <w:color w:val="auto"/>
                <w:sz w:val="24"/>
                <w:szCs w:val="24"/>
              </w:rPr>
            </w:pPr>
            <w:r>
              <w:rPr>
                <w:color w:val="auto"/>
                <w:sz w:val="24"/>
                <w:szCs w:val="24"/>
              </w:rPr>
              <w:t>（编号）</w:t>
            </w:r>
          </w:p>
        </w:tc>
        <w:tc>
          <w:tcPr>
            <w:tcW w:w="1134" w:type="dxa"/>
            <w:tcBorders>
              <w:top w:val="single" w:color="auto" w:sz="12" w:space="0"/>
              <w:left w:val="single" w:color="auto" w:sz="4" w:space="0"/>
              <w:bottom w:val="single" w:color="auto" w:sz="4" w:space="0"/>
              <w:right w:val="single" w:color="auto" w:sz="4" w:space="0"/>
            </w:tcBorders>
            <w:vAlign w:val="center"/>
          </w:tcPr>
          <w:p>
            <w:pPr>
              <w:jc w:val="center"/>
              <w:rPr>
                <w:color w:val="auto"/>
                <w:sz w:val="24"/>
                <w:szCs w:val="24"/>
              </w:rPr>
            </w:pPr>
            <w:r>
              <w:rPr>
                <w:color w:val="auto"/>
                <w:sz w:val="24"/>
                <w:szCs w:val="24"/>
              </w:rPr>
              <w:t>污染物</w:t>
            </w:r>
          </w:p>
          <w:p>
            <w:pPr>
              <w:jc w:val="center"/>
              <w:rPr>
                <w:color w:val="auto"/>
                <w:sz w:val="24"/>
                <w:szCs w:val="24"/>
              </w:rPr>
            </w:pPr>
            <w:r>
              <w:rPr>
                <w:color w:val="auto"/>
                <w:sz w:val="24"/>
                <w:szCs w:val="24"/>
              </w:rPr>
              <w:t>名称</w:t>
            </w:r>
          </w:p>
        </w:tc>
        <w:tc>
          <w:tcPr>
            <w:tcW w:w="2551" w:type="dxa"/>
            <w:tcBorders>
              <w:top w:val="single" w:color="auto" w:sz="12" w:space="0"/>
              <w:left w:val="single" w:color="auto" w:sz="4" w:space="0"/>
              <w:bottom w:val="single" w:color="auto" w:sz="4" w:space="0"/>
              <w:right w:val="single" w:color="auto" w:sz="4" w:space="0"/>
            </w:tcBorders>
            <w:vAlign w:val="center"/>
          </w:tcPr>
          <w:p>
            <w:pPr>
              <w:jc w:val="center"/>
              <w:rPr>
                <w:color w:val="auto"/>
                <w:spacing w:val="-6"/>
                <w:sz w:val="24"/>
                <w:szCs w:val="24"/>
              </w:rPr>
            </w:pPr>
            <w:r>
              <w:rPr>
                <w:color w:val="auto"/>
                <w:spacing w:val="-6"/>
                <w:sz w:val="24"/>
                <w:szCs w:val="24"/>
              </w:rPr>
              <w:t>处理前产生浓度及</w:t>
            </w:r>
          </w:p>
          <w:p>
            <w:pPr>
              <w:jc w:val="center"/>
              <w:rPr>
                <w:color w:val="auto"/>
                <w:spacing w:val="-6"/>
                <w:sz w:val="24"/>
                <w:szCs w:val="24"/>
              </w:rPr>
            </w:pPr>
            <w:r>
              <w:rPr>
                <w:color w:val="auto"/>
                <w:spacing w:val="-6"/>
                <w:sz w:val="24"/>
                <w:szCs w:val="24"/>
              </w:rPr>
              <w:t>产生量（单位）</w:t>
            </w:r>
          </w:p>
        </w:tc>
        <w:tc>
          <w:tcPr>
            <w:tcW w:w="2578" w:type="dxa"/>
            <w:tcBorders>
              <w:top w:val="single" w:color="auto" w:sz="12" w:space="0"/>
              <w:left w:val="single" w:color="auto" w:sz="4" w:space="0"/>
              <w:bottom w:val="single" w:color="auto" w:sz="4" w:space="0"/>
              <w:right w:val="single" w:color="auto" w:sz="12" w:space="0"/>
            </w:tcBorders>
            <w:vAlign w:val="center"/>
          </w:tcPr>
          <w:p>
            <w:pPr>
              <w:jc w:val="center"/>
              <w:rPr>
                <w:color w:val="auto"/>
                <w:spacing w:val="-6"/>
                <w:sz w:val="24"/>
                <w:szCs w:val="24"/>
              </w:rPr>
            </w:pPr>
            <w:r>
              <w:rPr>
                <w:color w:val="auto"/>
                <w:spacing w:val="-6"/>
                <w:sz w:val="24"/>
                <w:szCs w:val="24"/>
              </w:rPr>
              <w:t>排放浓度及排放量</w:t>
            </w:r>
          </w:p>
          <w:p>
            <w:pPr>
              <w:jc w:val="center"/>
              <w:rPr>
                <w:color w:val="auto"/>
                <w:spacing w:val="-6"/>
                <w:sz w:val="24"/>
                <w:szCs w:val="24"/>
              </w:rPr>
            </w:pPr>
            <w:r>
              <w:rPr>
                <w:color w:val="auto"/>
                <w:spacing w:val="-6"/>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3" w:hRule="atLeast"/>
          <w:jc w:val="center"/>
        </w:trPr>
        <w:tc>
          <w:tcPr>
            <w:tcW w:w="1053" w:type="dxa"/>
            <w:vMerge w:val="restart"/>
            <w:tcBorders>
              <w:top w:val="single" w:color="auto" w:sz="4" w:space="0"/>
              <w:left w:val="single" w:color="auto" w:sz="12" w:space="0"/>
              <w:right w:val="single" w:color="auto" w:sz="4" w:space="0"/>
            </w:tcBorders>
            <w:vAlign w:val="center"/>
          </w:tcPr>
          <w:p>
            <w:pPr>
              <w:adjustRightInd w:val="0"/>
              <w:snapToGrid w:val="0"/>
              <w:jc w:val="center"/>
              <w:rPr>
                <w:color w:val="auto"/>
                <w:sz w:val="24"/>
                <w:szCs w:val="24"/>
              </w:rPr>
            </w:pPr>
            <w:r>
              <w:rPr>
                <w:color w:val="auto"/>
                <w:sz w:val="24"/>
                <w:szCs w:val="24"/>
              </w:rPr>
              <w:t>大</w:t>
            </w:r>
          </w:p>
          <w:p>
            <w:pPr>
              <w:adjustRightInd w:val="0"/>
              <w:snapToGrid w:val="0"/>
              <w:jc w:val="center"/>
              <w:rPr>
                <w:color w:val="auto"/>
                <w:sz w:val="24"/>
                <w:szCs w:val="24"/>
              </w:rPr>
            </w:pPr>
            <w:r>
              <w:rPr>
                <w:color w:val="auto"/>
                <w:sz w:val="24"/>
                <w:szCs w:val="24"/>
              </w:rPr>
              <w:t>气</w:t>
            </w:r>
          </w:p>
          <w:p>
            <w:pPr>
              <w:adjustRightInd w:val="0"/>
              <w:snapToGrid w:val="0"/>
              <w:jc w:val="center"/>
              <w:rPr>
                <w:color w:val="auto"/>
                <w:sz w:val="24"/>
                <w:szCs w:val="24"/>
              </w:rPr>
            </w:pPr>
            <w:r>
              <w:rPr>
                <w:color w:val="auto"/>
                <w:sz w:val="24"/>
                <w:szCs w:val="24"/>
              </w:rPr>
              <w:t>污</w:t>
            </w:r>
          </w:p>
          <w:p>
            <w:pPr>
              <w:adjustRightInd w:val="0"/>
              <w:snapToGrid w:val="0"/>
              <w:jc w:val="center"/>
              <w:rPr>
                <w:color w:val="auto"/>
                <w:sz w:val="24"/>
                <w:szCs w:val="24"/>
              </w:rPr>
            </w:pPr>
            <w:r>
              <w:rPr>
                <w:color w:val="auto"/>
                <w:sz w:val="24"/>
                <w:szCs w:val="24"/>
              </w:rPr>
              <w:t>染</w:t>
            </w:r>
          </w:p>
          <w:p>
            <w:pPr>
              <w:adjustRightInd w:val="0"/>
              <w:snapToGrid w:val="0"/>
              <w:jc w:val="center"/>
              <w:rPr>
                <w:color w:val="auto"/>
                <w:sz w:val="24"/>
                <w:szCs w:val="24"/>
              </w:rPr>
            </w:pPr>
            <w:r>
              <w:rPr>
                <w:color w:val="auto"/>
                <w:sz w:val="24"/>
                <w:szCs w:val="24"/>
              </w:rPr>
              <w:t>物</w:t>
            </w:r>
          </w:p>
        </w:tc>
        <w:tc>
          <w:tcPr>
            <w:tcW w:w="1528" w:type="dxa"/>
            <w:vMerge w:val="restart"/>
            <w:tcBorders>
              <w:top w:val="single" w:color="auto" w:sz="4" w:space="0"/>
              <w:left w:val="single" w:color="auto" w:sz="4" w:space="0"/>
              <w:right w:val="single" w:color="auto" w:sz="4" w:space="0"/>
            </w:tcBorders>
            <w:vAlign w:val="center"/>
          </w:tcPr>
          <w:p>
            <w:pPr>
              <w:jc w:val="center"/>
              <w:rPr>
                <w:color w:val="auto"/>
                <w:sz w:val="24"/>
                <w:szCs w:val="24"/>
              </w:rPr>
            </w:pPr>
            <w:r>
              <w:rPr>
                <w:rFonts w:hint="eastAsia"/>
                <w:color w:val="auto"/>
                <w:sz w:val="24"/>
                <w:szCs w:val="24"/>
              </w:rPr>
              <w:t>1#、2#炉</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颗粒物</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134</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330.26</w:t>
            </w:r>
            <w:r>
              <w:rPr>
                <w:color w:val="auto"/>
                <w:sz w:val="24"/>
                <w:szCs w:val="24"/>
              </w:rPr>
              <w:t>t/a</w:t>
            </w:r>
          </w:p>
        </w:tc>
        <w:tc>
          <w:tcPr>
            <w:tcW w:w="2578"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1.34</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3.30</w:t>
            </w:r>
            <w:r>
              <w:rPr>
                <w:color w:val="auto"/>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3" w:hRule="atLeast"/>
          <w:jc w:val="center"/>
        </w:trPr>
        <w:tc>
          <w:tcPr>
            <w:tcW w:w="1053" w:type="dxa"/>
            <w:vMerge w:val="continue"/>
            <w:tcBorders>
              <w:left w:val="single" w:color="auto" w:sz="12" w:space="0"/>
              <w:right w:val="single" w:color="auto" w:sz="4" w:space="0"/>
            </w:tcBorders>
            <w:vAlign w:val="center"/>
          </w:tcPr>
          <w:p>
            <w:pPr>
              <w:adjustRightInd w:val="0"/>
              <w:snapToGrid w:val="0"/>
              <w:jc w:val="center"/>
              <w:rPr>
                <w:color w:val="auto"/>
                <w:sz w:val="24"/>
                <w:szCs w:val="24"/>
              </w:rPr>
            </w:pPr>
          </w:p>
        </w:tc>
        <w:tc>
          <w:tcPr>
            <w:tcW w:w="1528" w:type="dxa"/>
            <w:vMerge w:val="continue"/>
            <w:tcBorders>
              <w:left w:val="single" w:color="auto" w:sz="4" w:space="0"/>
              <w:right w:val="single" w:color="auto" w:sz="4" w:space="0"/>
            </w:tcBorders>
            <w:vAlign w:val="center"/>
          </w:tcPr>
          <w:p>
            <w:pPr>
              <w:jc w:val="center"/>
              <w:rPr>
                <w:color w:val="auto"/>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SO</w:t>
            </w:r>
            <w:r>
              <w:rPr>
                <w:rFonts w:hint="eastAsia"/>
                <w:color w:val="auto"/>
                <w:sz w:val="24"/>
                <w:szCs w:val="24"/>
                <w:vertAlign w:val="subscript"/>
              </w:rPr>
              <w:t>2</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80.5</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198.40</w:t>
            </w:r>
            <w:r>
              <w:rPr>
                <w:color w:val="auto"/>
                <w:sz w:val="24"/>
                <w:szCs w:val="24"/>
              </w:rPr>
              <w:t>t/a</w:t>
            </w:r>
          </w:p>
        </w:tc>
        <w:tc>
          <w:tcPr>
            <w:tcW w:w="2578"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16.1</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39.68</w:t>
            </w:r>
            <w:r>
              <w:rPr>
                <w:color w:val="auto"/>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3" w:hRule="atLeast"/>
          <w:jc w:val="center"/>
        </w:trPr>
        <w:tc>
          <w:tcPr>
            <w:tcW w:w="1053" w:type="dxa"/>
            <w:vMerge w:val="continue"/>
            <w:tcBorders>
              <w:left w:val="single" w:color="auto" w:sz="12" w:space="0"/>
              <w:right w:val="single" w:color="auto" w:sz="4" w:space="0"/>
            </w:tcBorders>
            <w:vAlign w:val="center"/>
          </w:tcPr>
          <w:p>
            <w:pPr>
              <w:adjustRightInd w:val="0"/>
              <w:snapToGrid w:val="0"/>
              <w:jc w:val="center"/>
              <w:rPr>
                <w:color w:val="auto"/>
                <w:sz w:val="24"/>
                <w:szCs w:val="24"/>
              </w:rPr>
            </w:pPr>
          </w:p>
        </w:tc>
        <w:tc>
          <w:tcPr>
            <w:tcW w:w="1528" w:type="dxa"/>
            <w:vMerge w:val="continue"/>
            <w:tcBorders>
              <w:left w:val="single" w:color="auto" w:sz="4" w:space="0"/>
              <w:right w:val="single" w:color="auto" w:sz="4" w:space="0"/>
            </w:tcBorders>
            <w:vAlign w:val="center"/>
          </w:tcPr>
          <w:p>
            <w:pPr>
              <w:jc w:val="center"/>
              <w:rPr>
                <w:color w:val="auto"/>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NO</w:t>
            </w:r>
            <w:r>
              <w:rPr>
                <w:rFonts w:hint="eastAsia"/>
                <w:color w:val="auto"/>
                <w:sz w:val="24"/>
                <w:szCs w:val="24"/>
                <w:vertAlign w:val="subscript"/>
              </w:rPr>
              <w:t>X</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72.3</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178.20</w:t>
            </w:r>
            <w:r>
              <w:rPr>
                <w:color w:val="auto"/>
                <w:sz w:val="24"/>
                <w:szCs w:val="24"/>
              </w:rPr>
              <w:t>t/a</w:t>
            </w:r>
          </w:p>
        </w:tc>
        <w:tc>
          <w:tcPr>
            <w:tcW w:w="2578"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72.3</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178.20</w:t>
            </w:r>
            <w:r>
              <w:rPr>
                <w:color w:val="auto"/>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3" w:hRule="atLeast"/>
          <w:jc w:val="center"/>
        </w:trPr>
        <w:tc>
          <w:tcPr>
            <w:tcW w:w="1053" w:type="dxa"/>
            <w:vMerge w:val="continue"/>
            <w:tcBorders>
              <w:left w:val="single" w:color="auto" w:sz="12" w:space="0"/>
              <w:right w:val="single" w:color="auto" w:sz="4" w:space="0"/>
            </w:tcBorders>
            <w:vAlign w:val="center"/>
          </w:tcPr>
          <w:p>
            <w:pPr>
              <w:adjustRightInd w:val="0"/>
              <w:snapToGrid w:val="0"/>
              <w:jc w:val="center"/>
              <w:rPr>
                <w:color w:val="auto"/>
                <w:sz w:val="24"/>
                <w:szCs w:val="24"/>
              </w:rPr>
            </w:pPr>
          </w:p>
        </w:tc>
        <w:tc>
          <w:tcPr>
            <w:tcW w:w="1528" w:type="dxa"/>
            <w:vMerge w:val="continue"/>
            <w:tcBorders>
              <w:left w:val="single" w:color="auto" w:sz="4" w:space="0"/>
              <w:bottom w:val="single" w:color="auto" w:sz="4" w:space="0"/>
              <w:right w:val="single" w:color="auto" w:sz="4" w:space="0"/>
            </w:tcBorders>
            <w:vAlign w:val="center"/>
          </w:tcPr>
          <w:p>
            <w:pPr>
              <w:jc w:val="center"/>
              <w:rPr>
                <w:color w:val="auto"/>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NH</w:t>
            </w:r>
            <w:r>
              <w:rPr>
                <w:rFonts w:hint="eastAsia"/>
                <w:color w:val="auto"/>
                <w:sz w:val="24"/>
                <w:szCs w:val="24"/>
                <w:vertAlign w:val="subscript"/>
              </w:rPr>
              <w:t>3</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w:t>
            </w:r>
          </w:p>
        </w:tc>
        <w:tc>
          <w:tcPr>
            <w:tcW w:w="2578"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1.03</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2.54</w:t>
            </w:r>
            <w:r>
              <w:rPr>
                <w:color w:val="auto"/>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3" w:hRule="atLeast"/>
          <w:jc w:val="center"/>
        </w:trPr>
        <w:tc>
          <w:tcPr>
            <w:tcW w:w="1053" w:type="dxa"/>
            <w:vMerge w:val="continue"/>
            <w:tcBorders>
              <w:left w:val="single" w:color="auto" w:sz="12" w:space="0"/>
              <w:right w:val="single" w:color="auto" w:sz="4" w:space="0"/>
            </w:tcBorders>
            <w:vAlign w:val="center"/>
          </w:tcPr>
          <w:p>
            <w:pPr>
              <w:adjustRightInd w:val="0"/>
              <w:snapToGrid w:val="0"/>
              <w:jc w:val="center"/>
              <w:rPr>
                <w:color w:val="auto"/>
                <w:sz w:val="24"/>
                <w:szCs w:val="24"/>
              </w:rPr>
            </w:pPr>
          </w:p>
        </w:tc>
        <w:tc>
          <w:tcPr>
            <w:tcW w:w="1528" w:type="dxa"/>
            <w:vMerge w:val="restart"/>
            <w:tcBorders>
              <w:top w:val="single" w:color="auto" w:sz="4" w:space="0"/>
              <w:left w:val="single" w:color="auto" w:sz="4" w:space="0"/>
              <w:right w:val="single" w:color="auto" w:sz="4" w:space="0"/>
            </w:tcBorders>
            <w:vAlign w:val="center"/>
          </w:tcPr>
          <w:p>
            <w:pPr>
              <w:jc w:val="center"/>
              <w:rPr>
                <w:color w:val="auto"/>
                <w:sz w:val="24"/>
                <w:szCs w:val="24"/>
              </w:rPr>
            </w:pPr>
            <w:r>
              <w:rPr>
                <w:rFonts w:hint="eastAsia"/>
                <w:color w:val="auto"/>
                <w:sz w:val="24"/>
                <w:szCs w:val="24"/>
              </w:rPr>
              <w:t>3#炉</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颗粒物</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123</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226.25</w:t>
            </w:r>
            <w:r>
              <w:rPr>
                <w:color w:val="auto"/>
                <w:sz w:val="24"/>
                <w:szCs w:val="24"/>
              </w:rPr>
              <w:t>t/a</w:t>
            </w:r>
          </w:p>
        </w:tc>
        <w:tc>
          <w:tcPr>
            <w:tcW w:w="2578"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1.23</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2.26</w:t>
            </w:r>
            <w:r>
              <w:rPr>
                <w:color w:val="auto"/>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3" w:hRule="atLeast"/>
          <w:jc w:val="center"/>
        </w:trPr>
        <w:tc>
          <w:tcPr>
            <w:tcW w:w="1053" w:type="dxa"/>
            <w:vMerge w:val="continue"/>
            <w:tcBorders>
              <w:left w:val="single" w:color="auto" w:sz="12" w:space="0"/>
              <w:right w:val="single" w:color="auto" w:sz="4" w:space="0"/>
            </w:tcBorders>
            <w:vAlign w:val="center"/>
          </w:tcPr>
          <w:p>
            <w:pPr>
              <w:adjustRightInd w:val="0"/>
              <w:snapToGrid w:val="0"/>
              <w:jc w:val="center"/>
              <w:rPr>
                <w:color w:val="auto"/>
                <w:sz w:val="24"/>
                <w:szCs w:val="24"/>
              </w:rPr>
            </w:pPr>
          </w:p>
        </w:tc>
        <w:tc>
          <w:tcPr>
            <w:tcW w:w="1528" w:type="dxa"/>
            <w:vMerge w:val="continue"/>
            <w:tcBorders>
              <w:left w:val="single" w:color="auto" w:sz="4" w:space="0"/>
              <w:right w:val="single" w:color="auto" w:sz="4" w:space="0"/>
            </w:tcBorders>
            <w:vAlign w:val="center"/>
          </w:tcPr>
          <w:p>
            <w:pPr>
              <w:jc w:val="center"/>
              <w:rPr>
                <w:color w:val="auto"/>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SO</w:t>
            </w:r>
            <w:r>
              <w:rPr>
                <w:rFonts w:hint="eastAsia"/>
                <w:color w:val="auto"/>
                <w:sz w:val="24"/>
                <w:szCs w:val="24"/>
                <w:vertAlign w:val="subscript"/>
              </w:rPr>
              <w:t>2</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91.9</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169.09</w:t>
            </w:r>
            <w:r>
              <w:rPr>
                <w:color w:val="auto"/>
                <w:sz w:val="24"/>
                <w:szCs w:val="24"/>
              </w:rPr>
              <w:t>t/a</w:t>
            </w:r>
          </w:p>
        </w:tc>
        <w:tc>
          <w:tcPr>
            <w:tcW w:w="2578"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18.4</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33.85</w:t>
            </w:r>
            <w:r>
              <w:rPr>
                <w:color w:val="auto"/>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3" w:hRule="atLeast"/>
          <w:jc w:val="center"/>
        </w:trPr>
        <w:tc>
          <w:tcPr>
            <w:tcW w:w="1053" w:type="dxa"/>
            <w:vMerge w:val="continue"/>
            <w:tcBorders>
              <w:left w:val="single" w:color="auto" w:sz="12" w:space="0"/>
              <w:right w:val="single" w:color="auto" w:sz="4" w:space="0"/>
            </w:tcBorders>
            <w:vAlign w:val="center"/>
          </w:tcPr>
          <w:p>
            <w:pPr>
              <w:adjustRightInd w:val="0"/>
              <w:snapToGrid w:val="0"/>
              <w:jc w:val="center"/>
              <w:rPr>
                <w:color w:val="auto"/>
                <w:sz w:val="24"/>
                <w:szCs w:val="24"/>
              </w:rPr>
            </w:pPr>
          </w:p>
        </w:tc>
        <w:tc>
          <w:tcPr>
            <w:tcW w:w="1528" w:type="dxa"/>
            <w:vMerge w:val="continue"/>
            <w:tcBorders>
              <w:left w:val="single" w:color="auto" w:sz="4" w:space="0"/>
              <w:right w:val="single" w:color="auto" w:sz="4" w:space="0"/>
            </w:tcBorders>
            <w:vAlign w:val="center"/>
          </w:tcPr>
          <w:p>
            <w:pPr>
              <w:jc w:val="center"/>
              <w:rPr>
                <w:color w:val="auto"/>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NO</w:t>
            </w:r>
            <w:r>
              <w:rPr>
                <w:rFonts w:hint="eastAsia"/>
                <w:color w:val="auto"/>
                <w:sz w:val="24"/>
                <w:szCs w:val="24"/>
                <w:vertAlign w:val="subscript"/>
              </w:rPr>
              <w:t>X</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74.9</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137.81</w:t>
            </w:r>
            <w:r>
              <w:rPr>
                <w:color w:val="auto"/>
                <w:sz w:val="24"/>
                <w:szCs w:val="24"/>
              </w:rPr>
              <w:t>t/a</w:t>
            </w:r>
          </w:p>
        </w:tc>
        <w:tc>
          <w:tcPr>
            <w:tcW w:w="2578"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74.9</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137.81</w:t>
            </w:r>
            <w:r>
              <w:rPr>
                <w:color w:val="auto"/>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3" w:hRule="atLeast"/>
          <w:jc w:val="center"/>
        </w:trPr>
        <w:tc>
          <w:tcPr>
            <w:tcW w:w="1053" w:type="dxa"/>
            <w:vMerge w:val="continue"/>
            <w:tcBorders>
              <w:left w:val="single" w:color="auto" w:sz="12" w:space="0"/>
              <w:right w:val="single" w:color="auto" w:sz="4" w:space="0"/>
            </w:tcBorders>
            <w:vAlign w:val="center"/>
          </w:tcPr>
          <w:p>
            <w:pPr>
              <w:adjustRightInd w:val="0"/>
              <w:snapToGrid w:val="0"/>
              <w:jc w:val="center"/>
              <w:rPr>
                <w:color w:val="auto"/>
                <w:sz w:val="24"/>
                <w:szCs w:val="24"/>
              </w:rPr>
            </w:pPr>
          </w:p>
        </w:tc>
        <w:tc>
          <w:tcPr>
            <w:tcW w:w="1528" w:type="dxa"/>
            <w:vMerge w:val="continue"/>
            <w:tcBorders>
              <w:left w:val="single" w:color="auto" w:sz="4" w:space="0"/>
              <w:bottom w:val="single" w:color="auto" w:sz="4" w:space="0"/>
              <w:right w:val="single" w:color="auto" w:sz="4" w:space="0"/>
            </w:tcBorders>
            <w:vAlign w:val="center"/>
          </w:tcPr>
          <w:p>
            <w:pPr>
              <w:jc w:val="center"/>
              <w:rPr>
                <w:color w:val="auto"/>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NH</w:t>
            </w:r>
            <w:r>
              <w:rPr>
                <w:rFonts w:hint="eastAsia"/>
                <w:color w:val="auto"/>
                <w:sz w:val="24"/>
                <w:szCs w:val="24"/>
                <w:vertAlign w:val="subscript"/>
              </w:rPr>
              <w:t>3</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w:t>
            </w:r>
          </w:p>
        </w:tc>
        <w:tc>
          <w:tcPr>
            <w:tcW w:w="2578"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1.03</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1.89</w:t>
            </w:r>
            <w:r>
              <w:rPr>
                <w:color w:val="auto"/>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3" w:hRule="atLeast"/>
          <w:jc w:val="center"/>
        </w:trPr>
        <w:tc>
          <w:tcPr>
            <w:tcW w:w="1053" w:type="dxa"/>
            <w:vMerge w:val="continue"/>
            <w:tcBorders>
              <w:left w:val="single" w:color="auto" w:sz="12" w:space="0"/>
              <w:right w:val="single" w:color="auto" w:sz="4" w:space="0"/>
            </w:tcBorders>
            <w:vAlign w:val="center"/>
          </w:tcPr>
          <w:p>
            <w:pPr>
              <w:adjustRightInd w:val="0"/>
              <w:snapToGrid w:val="0"/>
              <w:jc w:val="center"/>
              <w:rPr>
                <w:color w:val="auto"/>
                <w:sz w:val="24"/>
                <w:szCs w:val="24"/>
              </w:rPr>
            </w:pPr>
          </w:p>
        </w:tc>
        <w:tc>
          <w:tcPr>
            <w:tcW w:w="1528" w:type="dxa"/>
            <w:vMerge w:val="restart"/>
            <w:tcBorders>
              <w:top w:val="single" w:color="auto" w:sz="4" w:space="0"/>
              <w:left w:val="single" w:color="auto" w:sz="4" w:space="0"/>
              <w:right w:val="single" w:color="auto" w:sz="4" w:space="0"/>
            </w:tcBorders>
            <w:vAlign w:val="center"/>
          </w:tcPr>
          <w:p>
            <w:pPr>
              <w:jc w:val="center"/>
              <w:rPr>
                <w:color w:val="auto"/>
                <w:sz w:val="24"/>
                <w:szCs w:val="24"/>
              </w:rPr>
            </w:pPr>
            <w:r>
              <w:rPr>
                <w:rFonts w:hint="eastAsia"/>
                <w:color w:val="auto"/>
                <w:sz w:val="24"/>
                <w:szCs w:val="24"/>
              </w:rPr>
              <w:t>4#、5#炉</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颗粒物</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4</w:t>
            </w:r>
            <w:r>
              <w:rPr>
                <w:color w:val="auto"/>
                <w:sz w:val="24"/>
                <w:szCs w:val="24"/>
              </w:rPr>
              <w:t>6</w:t>
            </w:r>
            <w:r>
              <w:rPr>
                <w:rFonts w:hint="eastAsia"/>
                <w:color w:val="auto"/>
                <w:sz w:val="24"/>
                <w:szCs w:val="24"/>
              </w:rPr>
              <w:t>4</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2342.33</w:t>
            </w:r>
            <w:r>
              <w:rPr>
                <w:color w:val="auto"/>
                <w:sz w:val="24"/>
                <w:szCs w:val="24"/>
              </w:rPr>
              <w:t>t/a</w:t>
            </w:r>
          </w:p>
        </w:tc>
        <w:tc>
          <w:tcPr>
            <w:tcW w:w="2578" w:type="dxa"/>
            <w:tcBorders>
              <w:top w:val="single" w:color="auto" w:sz="4" w:space="0"/>
              <w:left w:val="single" w:color="auto" w:sz="4" w:space="0"/>
              <w:bottom w:val="single" w:color="auto" w:sz="4" w:space="0"/>
              <w:right w:val="single" w:color="auto" w:sz="12" w:space="0"/>
            </w:tcBorders>
            <w:vAlign w:val="center"/>
          </w:tcPr>
          <w:p>
            <w:pPr>
              <w:jc w:val="center"/>
              <w:rPr>
                <w:color w:val="auto"/>
                <w:spacing w:val="-10"/>
                <w:sz w:val="24"/>
                <w:szCs w:val="24"/>
              </w:rPr>
            </w:pPr>
            <w:r>
              <w:rPr>
                <w:rFonts w:hint="eastAsia"/>
                <w:color w:val="auto"/>
                <w:spacing w:val="-10"/>
                <w:sz w:val="24"/>
                <w:szCs w:val="24"/>
              </w:rPr>
              <w:t>4.64</w:t>
            </w:r>
            <w:r>
              <w:rPr>
                <w:color w:val="auto"/>
                <w:sz w:val="24"/>
                <w:szCs w:val="24"/>
              </w:rPr>
              <w:t xml:space="preserve"> mg/m</w:t>
            </w:r>
            <w:r>
              <w:rPr>
                <w:color w:val="auto"/>
                <w:sz w:val="24"/>
                <w:szCs w:val="24"/>
                <w:vertAlign w:val="superscript"/>
              </w:rPr>
              <w:t>3</w:t>
            </w:r>
            <w:r>
              <w:rPr>
                <w:color w:val="auto"/>
                <w:sz w:val="24"/>
                <w:szCs w:val="24"/>
              </w:rPr>
              <w:t>，</w:t>
            </w:r>
            <w:r>
              <w:rPr>
                <w:rFonts w:hint="eastAsia"/>
                <w:color w:val="auto"/>
                <w:sz w:val="24"/>
                <w:szCs w:val="24"/>
              </w:rPr>
              <w:t>23.42</w:t>
            </w:r>
            <w:r>
              <w:rPr>
                <w:color w:val="auto"/>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3" w:hRule="atLeast"/>
          <w:jc w:val="center"/>
        </w:trPr>
        <w:tc>
          <w:tcPr>
            <w:tcW w:w="1053" w:type="dxa"/>
            <w:vMerge w:val="continue"/>
            <w:tcBorders>
              <w:left w:val="single" w:color="auto" w:sz="12" w:space="0"/>
              <w:right w:val="single" w:color="auto" w:sz="4" w:space="0"/>
            </w:tcBorders>
            <w:vAlign w:val="center"/>
          </w:tcPr>
          <w:p>
            <w:pPr>
              <w:adjustRightInd w:val="0"/>
              <w:snapToGrid w:val="0"/>
              <w:jc w:val="center"/>
              <w:rPr>
                <w:color w:val="auto"/>
                <w:sz w:val="24"/>
                <w:szCs w:val="24"/>
              </w:rPr>
            </w:pPr>
          </w:p>
        </w:tc>
        <w:tc>
          <w:tcPr>
            <w:tcW w:w="1528" w:type="dxa"/>
            <w:vMerge w:val="continue"/>
            <w:tcBorders>
              <w:left w:val="single" w:color="auto" w:sz="4" w:space="0"/>
              <w:right w:val="single" w:color="auto" w:sz="4" w:space="0"/>
            </w:tcBorders>
            <w:vAlign w:val="center"/>
          </w:tcPr>
          <w:p>
            <w:pPr>
              <w:jc w:val="center"/>
              <w:rPr>
                <w:color w:val="auto"/>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SO</w:t>
            </w:r>
            <w:r>
              <w:rPr>
                <w:rFonts w:hint="eastAsia"/>
                <w:color w:val="auto"/>
                <w:sz w:val="24"/>
                <w:szCs w:val="24"/>
                <w:vertAlign w:val="subscript"/>
              </w:rPr>
              <w:t>2</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94.5</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477.18</w:t>
            </w:r>
            <w:r>
              <w:rPr>
                <w:color w:val="auto"/>
                <w:sz w:val="24"/>
                <w:szCs w:val="24"/>
              </w:rPr>
              <w:t>t/a</w:t>
            </w:r>
          </w:p>
        </w:tc>
        <w:tc>
          <w:tcPr>
            <w:tcW w:w="2578" w:type="dxa"/>
            <w:tcBorders>
              <w:top w:val="single" w:color="auto" w:sz="4" w:space="0"/>
              <w:left w:val="single" w:color="auto" w:sz="4" w:space="0"/>
              <w:bottom w:val="single" w:color="auto" w:sz="4" w:space="0"/>
              <w:right w:val="single" w:color="auto" w:sz="12" w:space="0"/>
            </w:tcBorders>
            <w:vAlign w:val="center"/>
          </w:tcPr>
          <w:p>
            <w:pPr>
              <w:jc w:val="center"/>
              <w:rPr>
                <w:color w:val="auto"/>
                <w:spacing w:val="-10"/>
                <w:sz w:val="24"/>
                <w:szCs w:val="24"/>
              </w:rPr>
            </w:pPr>
            <w:r>
              <w:rPr>
                <w:color w:val="auto"/>
                <w:spacing w:val="-10"/>
                <w:sz w:val="24"/>
                <w:szCs w:val="24"/>
              </w:rPr>
              <w:t>1</w:t>
            </w:r>
            <w:r>
              <w:rPr>
                <w:rFonts w:hint="eastAsia"/>
                <w:color w:val="auto"/>
                <w:spacing w:val="-10"/>
                <w:sz w:val="24"/>
                <w:szCs w:val="24"/>
              </w:rPr>
              <w:t>8.9</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95.41</w:t>
            </w:r>
            <w:r>
              <w:rPr>
                <w:color w:val="auto"/>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3" w:hRule="atLeast"/>
          <w:jc w:val="center"/>
        </w:trPr>
        <w:tc>
          <w:tcPr>
            <w:tcW w:w="1053" w:type="dxa"/>
            <w:vMerge w:val="continue"/>
            <w:tcBorders>
              <w:left w:val="single" w:color="auto" w:sz="12" w:space="0"/>
              <w:right w:val="single" w:color="auto" w:sz="4" w:space="0"/>
            </w:tcBorders>
            <w:vAlign w:val="center"/>
          </w:tcPr>
          <w:p>
            <w:pPr>
              <w:adjustRightInd w:val="0"/>
              <w:snapToGrid w:val="0"/>
              <w:jc w:val="center"/>
              <w:rPr>
                <w:color w:val="auto"/>
                <w:sz w:val="24"/>
                <w:szCs w:val="24"/>
              </w:rPr>
            </w:pPr>
          </w:p>
        </w:tc>
        <w:tc>
          <w:tcPr>
            <w:tcW w:w="1528" w:type="dxa"/>
            <w:vMerge w:val="continue"/>
            <w:tcBorders>
              <w:left w:val="single" w:color="auto" w:sz="4" w:space="0"/>
              <w:right w:val="single" w:color="auto" w:sz="4" w:space="0"/>
            </w:tcBorders>
            <w:vAlign w:val="center"/>
          </w:tcPr>
          <w:p>
            <w:pPr>
              <w:jc w:val="center"/>
              <w:rPr>
                <w:color w:val="auto"/>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NO</w:t>
            </w:r>
            <w:r>
              <w:rPr>
                <w:rFonts w:hint="eastAsia"/>
                <w:color w:val="auto"/>
                <w:sz w:val="24"/>
                <w:szCs w:val="24"/>
                <w:vertAlign w:val="subscript"/>
              </w:rPr>
              <w:t>X</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79.8</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402.81</w:t>
            </w:r>
            <w:r>
              <w:rPr>
                <w:color w:val="auto"/>
                <w:sz w:val="24"/>
                <w:szCs w:val="24"/>
              </w:rPr>
              <w:t>t/a</w:t>
            </w:r>
          </w:p>
        </w:tc>
        <w:tc>
          <w:tcPr>
            <w:tcW w:w="2578" w:type="dxa"/>
            <w:tcBorders>
              <w:top w:val="single" w:color="auto" w:sz="4" w:space="0"/>
              <w:left w:val="single" w:color="auto" w:sz="4" w:space="0"/>
              <w:bottom w:val="single" w:color="auto" w:sz="4" w:space="0"/>
              <w:right w:val="single" w:color="auto" w:sz="12" w:space="0"/>
            </w:tcBorders>
            <w:vAlign w:val="center"/>
          </w:tcPr>
          <w:p>
            <w:pPr>
              <w:jc w:val="center"/>
              <w:rPr>
                <w:color w:val="auto"/>
                <w:spacing w:val="-10"/>
                <w:sz w:val="24"/>
                <w:szCs w:val="24"/>
              </w:rPr>
            </w:pPr>
            <w:r>
              <w:rPr>
                <w:rFonts w:hint="eastAsia"/>
                <w:color w:val="auto"/>
                <w:sz w:val="24"/>
                <w:szCs w:val="24"/>
              </w:rPr>
              <w:t>79.8</w:t>
            </w:r>
            <w:r>
              <w:rPr>
                <w:color w:val="auto"/>
                <w:sz w:val="24"/>
                <w:szCs w:val="24"/>
              </w:rPr>
              <w:t>mg/m</w:t>
            </w:r>
            <w:r>
              <w:rPr>
                <w:color w:val="auto"/>
                <w:sz w:val="24"/>
                <w:szCs w:val="24"/>
                <w:vertAlign w:val="superscript"/>
              </w:rPr>
              <w:t>3</w:t>
            </w:r>
            <w:r>
              <w:rPr>
                <w:color w:val="auto"/>
                <w:sz w:val="24"/>
                <w:szCs w:val="24"/>
              </w:rPr>
              <w:t>，</w:t>
            </w:r>
            <w:r>
              <w:rPr>
                <w:rFonts w:hint="eastAsia"/>
                <w:color w:val="auto"/>
                <w:sz w:val="24"/>
                <w:szCs w:val="24"/>
              </w:rPr>
              <w:t>402.81</w:t>
            </w:r>
            <w:r>
              <w:rPr>
                <w:color w:val="auto"/>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3" w:hRule="atLeast"/>
          <w:jc w:val="center"/>
        </w:trPr>
        <w:tc>
          <w:tcPr>
            <w:tcW w:w="1053" w:type="dxa"/>
            <w:vMerge w:val="continue"/>
            <w:tcBorders>
              <w:left w:val="single" w:color="auto" w:sz="12" w:space="0"/>
              <w:right w:val="single" w:color="auto" w:sz="4" w:space="0"/>
            </w:tcBorders>
            <w:vAlign w:val="center"/>
          </w:tcPr>
          <w:p>
            <w:pPr>
              <w:adjustRightInd w:val="0"/>
              <w:snapToGrid w:val="0"/>
              <w:jc w:val="center"/>
              <w:rPr>
                <w:color w:val="auto"/>
                <w:sz w:val="24"/>
                <w:szCs w:val="24"/>
              </w:rPr>
            </w:pPr>
          </w:p>
        </w:tc>
        <w:tc>
          <w:tcPr>
            <w:tcW w:w="1528" w:type="dxa"/>
            <w:vMerge w:val="continue"/>
            <w:tcBorders>
              <w:left w:val="single" w:color="auto" w:sz="4" w:space="0"/>
              <w:bottom w:val="single" w:color="auto" w:sz="4" w:space="0"/>
              <w:right w:val="single" w:color="auto" w:sz="4" w:space="0"/>
            </w:tcBorders>
            <w:vAlign w:val="center"/>
          </w:tcPr>
          <w:p>
            <w:pPr>
              <w:jc w:val="center"/>
              <w:rPr>
                <w:color w:val="auto"/>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NH</w:t>
            </w:r>
            <w:r>
              <w:rPr>
                <w:rFonts w:hint="eastAsia"/>
                <w:color w:val="auto"/>
                <w:sz w:val="24"/>
                <w:szCs w:val="24"/>
                <w:vertAlign w:val="subscript"/>
              </w:rPr>
              <w:t>3</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w:t>
            </w:r>
          </w:p>
        </w:tc>
        <w:tc>
          <w:tcPr>
            <w:tcW w:w="2578" w:type="dxa"/>
            <w:tcBorders>
              <w:top w:val="single" w:color="auto" w:sz="4" w:space="0"/>
              <w:left w:val="single" w:color="auto" w:sz="4" w:space="0"/>
              <w:bottom w:val="single" w:color="auto" w:sz="4" w:space="0"/>
              <w:right w:val="single" w:color="auto" w:sz="12" w:space="0"/>
            </w:tcBorders>
            <w:vAlign w:val="center"/>
          </w:tcPr>
          <w:p>
            <w:pPr>
              <w:jc w:val="center"/>
              <w:rPr>
                <w:color w:val="auto"/>
                <w:spacing w:val="-10"/>
                <w:sz w:val="24"/>
                <w:szCs w:val="24"/>
              </w:rPr>
            </w:pPr>
            <w:r>
              <w:rPr>
                <w:rFonts w:hint="eastAsia"/>
                <w:color w:val="auto"/>
                <w:spacing w:val="-10"/>
                <w:sz w:val="24"/>
                <w:szCs w:val="24"/>
              </w:rPr>
              <w:t>1.03</w:t>
            </w:r>
            <w:r>
              <w:rPr>
                <w:color w:val="auto"/>
                <w:sz w:val="24"/>
                <w:szCs w:val="24"/>
              </w:rPr>
              <w:t xml:space="preserve"> mg/m</w:t>
            </w:r>
            <w:r>
              <w:rPr>
                <w:color w:val="auto"/>
                <w:sz w:val="24"/>
                <w:szCs w:val="24"/>
                <w:vertAlign w:val="superscript"/>
              </w:rPr>
              <w:t>3</w:t>
            </w:r>
            <w:r>
              <w:rPr>
                <w:color w:val="auto"/>
                <w:sz w:val="24"/>
                <w:szCs w:val="24"/>
              </w:rPr>
              <w:t>，</w:t>
            </w:r>
            <w:r>
              <w:rPr>
                <w:rFonts w:hint="eastAsia"/>
                <w:color w:val="auto"/>
                <w:sz w:val="24"/>
                <w:szCs w:val="24"/>
              </w:rPr>
              <w:t>5.20</w:t>
            </w:r>
            <w:r>
              <w:rPr>
                <w:color w:val="auto"/>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3" w:hRule="atLeast"/>
          <w:jc w:val="center"/>
        </w:trPr>
        <w:tc>
          <w:tcPr>
            <w:tcW w:w="1053" w:type="dxa"/>
            <w:vMerge w:val="continue"/>
            <w:tcBorders>
              <w:left w:val="single" w:color="auto" w:sz="12" w:space="0"/>
              <w:bottom w:val="single" w:color="auto" w:sz="4" w:space="0"/>
              <w:right w:val="single" w:color="auto" w:sz="4" w:space="0"/>
            </w:tcBorders>
            <w:vAlign w:val="center"/>
          </w:tcPr>
          <w:p>
            <w:pPr>
              <w:adjustRightInd w:val="0"/>
              <w:snapToGrid w:val="0"/>
              <w:jc w:val="center"/>
              <w:rPr>
                <w:color w:val="auto"/>
                <w:sz w:val="24"/>
                <w:szCs w:val="24"/>
              </w:rPr>
            </w:pPr>
          </w:p>
        </w:tc>
        <w:tc>
          <w:tcPr>
            <w:tcW w:w="1528"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无组织废气</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NH</w:t>
            </w:r>
            <w:r>
              <w:rPr>
                <w:rFonts w:hint="eastAsia"/>
                <w:color w:val="auto"/>
                <w:sz w:val="24"/>
                <w:szCs w:val="24"/>
                <w:vertAlign w:val="subscript"/>
              </w:rPr>
              <w:t>3</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0.023kg/h，0.185t/a</w:t>
            </w:r>
          </w:p>
        </w:tc>
        <w:tc>
          <w:tcPr>
            <w:tcW w:w="2578" w:type="dxa"/>
            <w:tcBorders>
              <w:top w:val="single" w:color="auto" w:sz="4" w:space="0"/>
              <w:left w:val="single" w:color="auto" w:sz="4" w:space="0"/>
              <w:bottom w:val="single" w:color="auto" w:sz="4" w:space="0"/>
              <w:right w:val="single" w:color="auto" w:sz="12" w:space="0"/>
            </w:tcBorders>
            <w:vAlign w:val="center"/>
          </w:tcPr>
          <w:p>
            <w:pPr>
              <w:jc w:val="center"/>
              <w:rPr>
                <w:color w:val="auto"/>
                <w:spacing w:val="-10"/>
                <w:sz w:val="24"/>
                <w:szCs w:val="24"/>
              </w:rPr>
            </w:pPr>
            <w:r>
              <w:rPr>
                <w:rFonts w:hint="eastAsia"/>
                <w:color w:val="auto"/>
                <w:sz w:val="24"/>
                <w:szCs w:val="24"/>
              </w:rPr>
              <w:t>0.023kg/h，0.185t/a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88" w:hRule="atLeast"/>
          <w:jc w:val="center"/>
        </w:trPr>
        <w:tc>
          <w:tcPr>
            <w:tcW w:w="1053" w:type="dxa"/>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r>
              <w:rPr>
                <w:color w:val="auto"/>
                <w:sz w:val="24"/>
                <w:szCs w:val="24"/>
              </w:rPr>
              <w:t>水污</w:t>
            </w:r>
          </w:p>
          <w:p>
            <w:pPr>
              <w:jc w:val="center"/>
              <w:rPr>
                <w:color w:val="auto"/>
                <w:sz w:val="24"/>
                <w:szCs w:val="24"/>
              </w:rPr>
            </w:pPr>
            <w:r>
              <w:rPr>
                <w:color w:val="auto"/>
                <w:sz w:val="24"/>
                <w:szCs w:val="24"/>
              </w:rPr>
              <w:t>染物</w:t>
            </w:r>
          </w:p>
        </w:tc>
        <w:tc>
          <w:tcPr>
            <w:tcW w:w="15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auto"/>
                <w:sz w:val="24"/>
                <w:szCs w:val="24"/>
              </w:rPr>
            </w:pPr>
            <w:r>
              <w:rPr>
                <w:rFonts w:hint="eastAsia"/>
                <w:color w:val="auto"/>
                <w:sz w:val="24"/>
                <w:szCs w:val="24"/>
              </w:rPr>
              <w:t>/</w:t>
            </w:r>
          </w:p>
        </w:tc>
        <w:tc>
          <w:tcPr>
            <w:tcW w:w="1134" w:type="dxa"/>
            <w:tcBorders>
              <w:top w:val="single" w:color="auto" w:sz="4" w:space="0"/>
              <w:left w:val="single" w:color="auto" w:sz="4" w:space="0"/>
              <w:right w:val="single" w:color="auto" w:sz="4" w:space="0"/>
            </w:tcBorders>
            <w:vAlign w:val="center"/>
          </w:tcPr>
          <w:p>
            <w:pPr>
              <w:jc w:val="center"/>
              <w:rPr>
                <w:color w:val="auto"/>
                <w:sz w:val="24"/>
                <w:szCs w:val="24"/>
              </w:rPr>
            </w:pPr>
            <w:r>
              <w:rPr>
                <w:rFonts w:hint="eastAsia"/>
                <w:color w:val="auto"/>
                <w:sz w:val="24"/>
                <w:szCs w:val="24"/>
              </w:rPr>
              <w:t>/</w:t>
            </w:r>
          </w:p>
        </w:tc>
        <w:tc>
          <w:tcPr>
            <w:tcW w:w="2551" w:type="dxa"/>
            <w:tcBorders>
              <w:top w:val="single" w:color="auto" w:sz="4" w:space="0"/>
              <w:left w:val="single" w:color="auto" w:sz="4" w:space="0"/>
              <w:right w:val="single" w:color="auto" w:sz="4" w:space="0"/>
            </w:tcBorders>
            <w:vAlign w:val="center"/>
          </w:tcPr>
          <w:p>
            <w:pPr>
              <w:jc w:val="center"/>
              <w:rPr>
                <w:color w:val="auto"/>
                <w:sz w:val="24"/>
                <w:szCs w:val="24"/>
              </w:rPr>
            </w:pPr>
            <w:r>
              <w:rPr>
                <w:rFonts w:hint="eastAsia"/>
                <w:color w:val="auto"/>
                <w:sz w:val="24"/>
                <w:szCs w:val="24"/>
              </w:rPr>
              <w:t>/</w:t>
            </w:r>
          </w:p>
        </w:tc>
        <w:tc>
          <w:tcPr>
            <w:tcW w:w="2578" w:type="dxa"/>
            <w:tcBorders>
              <w:top w:val="single" w:color="auto" w:sz="4" w:space="0"/>
              <w:left w:val="single" w:color="auto" w:sz="4" w:space="0"/>
              <w:right w:val="single" w:color="auto" w:sz="12" w:space="0"/>
            </w:tcBorders>
            <w:vAlign w:val="center"/>
          </w:tcPr>
          <w:p>
            <w:pPr>
              <w:jc w:val="center"/>
              <w:rPr>
                <w:color w:val="auto"/>
                <w:sz w:val="24"/>
                <w:szCs w:val="24"/>
              </w:rPr>
            </w:pPr>
            <w:r>
              <w:rPr>
                <w:rFonts w:hint="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82" w:hRule="atLeast"/>
          <w:jc w:val="center"/>
        </w:trPr>
        <w:tc>
          <w:tcPr>
            <w:tcW w:w="1053" w:type="dxa"/>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r>
              <w:rPr>
                <w:color w:val="auto"/>
                <w:sz w:val="24"/>
                <w:szCs w:val="24"/>
              </w:rPr>
              <w:t>固体</w:t>
            </w:r>
          </w:p>
          <w:p>
            <w:pPr>
              <w:jc w:val="center"/>
              <w:rPr>
                <w:color w:val="auto"/>
                <w:sz w:val="24"/>
                <w:szCs w:val="24"/>
              </w:rPr>
            </w:pPr>
            <w:r>
              <w:rPr>
                <w:color w:val="auto"/>
                <w:sz w:val="24"/>
                <w:szCs w:val="24"/>
              </w:rPr>
              <w:t>废物</w:t>
            </w:r>
          </w:p>
        </w:tc>
        <w:tc>
          <w:tcPr>
            <w:tcW w:w="1528" w:type="dxa"/>
            <w:tcBorders>
              <w:top w:val="single" w:color="auto" w:sz="4" w:space="0"/>
              <w:left w:val="single" w:color="auto" w:sz="4" w:space="0"/>
              <w:right w:val="single" w:color="auto" w:sz="4" w:space="0"/>
            </w:tcBorders>
            <w:vAlign w:val="center"/>
          </w:tcPr>
          <w:p>
            <w:pPr>
              <w:jc w:val="center"/>
              <w:rPr>
                <w:color w:val="auto"/>
                <w:sz w:val="24"/>
                <w:szCs w:val="24"/>
              </w:rPr>
            </w:pPr>
            <w:r>
              <w:rPr>
                <w:rFonts w:hint="eastAsia"/>
                <w:color w:val="auto"/>
                <w:sz w:val="24"/>
                <w:szCs w:val="24"/>
              </w:rPr>
              <w:t>/</w:t>
            </w:r>
          </w:p>
        </w:tc>
        <w:tc>
          <w:tcPr>
            <w:tcW w:w="1134" w:type="dxa"/>
            <w:tcBorders>
              <w:top w:val="single" w:color="auto" w:sz="4" w:space="0"/>
              <w:left w:val="single" w:color="auto" w:sz="4" w:space="0"/>
              <w:right w:val="single" w:color="auto" w:sz="4" w:space="0"/>
            </w:tcBorders>
            <w:vAlign w:val="center"/>
          </w:tcPr>
          <w:p>
            <w:pPr>
              <w:jc w:val="center"/>
              <w:rPr>
                <w:color w:val="auto"/>
                <w:sz w:val="24"/>
                <w:szCs w:val="24"/>
              </w:rPr>
            </w:pPr>
            <w:r>
              <w:rPr>
                <w:rFonts w:hint="eastAsia"/>
                <w:color w:val="auto"/>
                <w:sz w:val="24"/>
                <w:szCs w:val="24"/>
              </w:rPr>
              <w:t>/</w:t>
            </w:r>
          </w:p>
        </w:tc>
        <w:tc>
          <w:tcPr>
            <w:tcW w:w="2551" w:type="dxa"/>
            <w:tcBorders>
              <w:top w:val="single" w:color="auto" w:sz="4" w:space="0"/>
              <w:left w:val="single" w:color="auto" w:sz="4" w:space="0"/>
              <w:right w:val="single" w:color="auto" w:sz="4" w:space="0"/>
            </w:tcBorders>
            <w:vAlign w:val="center"/>
          </w:tcPr>
          <w:p>
            <w:pPr>
              <w:jc w:val="center"/>
              <w:rPr>
                <w:color w:val="auto"/>
                <w:sz w:val="24"/>
                <w:szCs w:val="24"/>
              </w:rPr>
            </w:pPr>
            <w:r>
              <w:rPr>
                <w:color w:val="auto"/>
                <w:sz w:val="24"/>
                <w:szCs w:val="24"/>
              </w:rPr>
              <w:t>/</w:t>
            </w:r>
          </w:p>
        </w:tc>
        <w:tc>
          <w:tcPr>
            <w:tcW w:w="2578" w:type="dxa"/>
            <w:tcBorders>
              <w:top w:val="single" w:color="auto" w:sz="4" w:space="0"/>
              <w:left w:val="single" w:color="auto" w:sz="4" w:space="0"/>
              <w:right w:val="single" w:color="auto" w:sz="12" w:space="0"/>
            </w:tcBorders>
            <w:vAlign w:val="center"/>
          </w:tcPr>
          <w:p>
            <w:pPr>
              <w:jc w:val="center"/>
              <w:rPr>
                <w:color w:val="auto"/>
                <w:sz w:val="24"/>
                <w:szCs w:val="24"/>
              </w:rPr>
            </w:pPr>
            <w:r>
              <w:rPr>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257" w:hRule="atLeast"/>
          <w:jc w:val="center"/>
        </w:trPr>
        <w:tc>
          <w:tcPr>
            <w:tcW w:w="1053" w:type="dxa"/>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p>
          <w:p>
            <w:pPr>
              <w:jc w:val="center"/>
              <w:rPr>
                <w:color w:val="auto"/>
                <w:sz w:val="24"/>
                <w:szCs w:val="24"/>
              </w:rPr>
            </w:pPr>
            <w:r>
              <w:rPr>
                <w:color w:val="auto"/>
                <w:sz w:val="24"/>
                <w:szCs w:val="24"/>
              </w:rPr>
              <w:t>噪</w:t>
            </w:r>
          </w:p>
          <w:p>
            <w:pPr>
              <w:jc w:val="center"/>
              <w:rPr>
                <w:color w:val="auto"/>
                <w:sz w:val="24"/>
                <w:szCs w:val="24"/>
              </w:rPr>
            </w:pPr>
            <w:r>
              <w:rPr>
                <w:color w:val="auto"/>
                <w:sz w:val="24"/>
                <w:szCs w:val="24"/>
              </w:rPr>
              <w:t>声</w:t>
            </w:r>
          </w:p>
          <w:p>
            <w:pPr>
              <w:jc w:val="center"/>
              <w:rPr>
                <w:color w:val="auto"/>
                <w:sz w:val="24"/>
                <w:szCs w:val="24"/>
              </w:rPr>
            </w:pPr>
          </w:p>
        </w:tc>
        <w:tc>
          <w:tcPr>
            <w:tcW w:w="7791" w:type="dxa"/>
            <w:gridSpan w:val="4"/>
            <w:tcBorders>
              <w:top w:val="single" w:color="auto" w:sz="4" w:space="0"/>
              <w:left w:val="single" w:color="auto" w:sz="4" w:space="0"/>
              <w:bottom w:val="single" w:color="auto" w:sz="4" w:space="0"/>
              <w:right w:val="single" w:color="auto" w:sz="12" w:space="0"/>
            </w:tcBorders>
            <w:vAlign w:val="center"/>
          </w:tcPr>
          <w:p>
            <w:pPr>
              <w:spacing w:line="360" w:lineRule="auto"/>
              <w:rPr>
                <w:color w:val="auto"/>
                <w:kern w:val="0"/>
                <w:sz w:val="24"/>
                <w:szCs w:val="24"/>
              </w:rPr>
            </w:pPr>
            <w:r>
              <w:rPr>
                <w:rFonts w:hint="eastAsia"/>
                <w:color w:val="auto"/>
                <w:kern w:val="0"/>
                <w:sz w:val="24"/>
                <w:szCs w:val="24"/>
              </w:rPr>
              <w:t>项目</w:t>
            </w:r>
            <w:r>
              <w:rPr>
                <w:color w:val="auto"/>
                <w:kern w:val="0"/>
                <w:sz w:val="24"/>
                <w:szCs w:val="24"/>
              </w:rPr>
              <w:t>噪声源主要</w:t>
            </w:r>
            <w:r>
              <w:rPr>
                <w:rFonts w:hint="eastAsia"/>
                <w:color w:val="auto"/>
                <w:kern w:val="0"/>
                <w:sz w:val="24"/>
                <w:szCs w:val="24"/>
              </w:rPr>
              <w:t>为空压机吸收塔、清水泵、卸氨泵、喷氨泵等</w:t>
            </w:r>
            <w:r>
              <w:rPr>
                <w:color w:val="auto"/>
                <w:kern w:val="0"/>
                <w:sz w:val="24"/>
                <w:szCs w:val="24"/>
              </w:rPr>
              <w:t>，噪声值在70～95dB(A)之间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8844" w:type="dxa"/>
            <w:gridSpan w:val="5"/>
            <w:tcBorders>
              <w:top w:val="single" w:color="auto" w:sz="4" w:space="0"/>
              <w:left w:val="single" w:color="auto" w:sz="12" w:space="0"/>
              <w:bottom w:val="single" w:color="auto" w:sz="12" w:space="0"/>
              <w:right w:val="single" w:color="auto" w:sz="12" w:space="0"/>
            </w:tcBorders>
            <w:vAlign w:val="center"/>
          </w:tcPr>
          <w:p>
            <w:pPr>
              <w:spacing w:before="156" w:beforeLines="50" w:after="156" w:afterLines="50"/>
              <w:rPr>
                <w:color w:val="auto"/>
                <w:sz w:val="24"/>
                <w:szCs w:val="24"/>
              </w:rPr>
            </w:pPr>
            <w:r>
              <w:rPr>
                <w:color w:val="auto"/>
                <w:sz w:val="24"/>
                <w:szCs w:val="24"/>
              </w:rPr>
              <w:t>主要生态影响（不够时可附另页）</w:t>
            </w:r>
          </w:p>
          <w:p>
            <w:pPr>
              <w:spacing w:line="360" w:lineRule="auto"/>
              <w:ind w:firstLine="480" w:firstLineChars="200"/>
              <w:rPr>
                <w:color w:val="auto"/>
                <w:sz w:val="24"/>
                <w:szCs w:val="24"/>
              </w:rPr>
            </w:pPr>
            <w:r>
              <w:rPr>
                <w:color w:val="auto"/>
                <w:sz w:val="24"/>
                <w:szCs w:val="24"/>
                <w:lang w:val="en-GB"/>
              </w:rPr>
              <w:t>本项目建设地点为现有厂区</w:t>
            </w:r>
            <w:r>
              <w:rPr>
                <w:rFonts w:hint="eastAsia"/>
                <w:color w:val="auto"/>
                <w:sz w:val="24"/>
                <w:szCs w:val="24"/>
                <w:lang w:val="en-GB"/>
              </w:rPr>
              <w:t>预留用地。</w:t>
            </w:r>
            <w:r>
              <w:rPr>
                <w:color w:val="auto"/>
                <w:sz w:val="24"/>
                <w:szCs w:val="24"/>
                <w:lang w:val="en-GB"/>
              </w:rPr>
              <w:t>本项目</w:t>
            </w:r>
            <w:r>
              <w:rPr>
                <w:rFonts w:hint="eastAsia"/>
                <w:color w:val="auto"/>
                <w:sz w:val="24"/>
                <w:szCs w:val="24"/>
                <w:lang w:val="en-GB"/>
              </w:rPr>
              <w:t>本身属环保改造项目，</w:t>
            </w:r>
            <w:r>
              <w:rPr>
                <w:color w:val="auto"/>
                <w:sz w:val="24"/>
                <w:szCs w:val="24"/>
                <w:lang w:val="en-GB"/>
              </w:rPr>
              <w:t>运行后</w:t>
            </w:r>
            <w:r>
              <w:rPr>
                <w:rFonts w:hint="eastAsia"/>
                <w:color w:val="auto"/>
                <w:sz w:val="24"/>
                <w:szCs w:val="24"/>
                <w:lang w:val="en-GB"/>
              </w:rPr>
              <w:t>锅炉烟气颗粒物、SO</w:t>
            </w:r>
            <w:r>
              <w:rPr>
                <w:rFonts w:hint="eastAsia"/>
                <w:color w:val="auto"/>
                <w:sz w:val="24"/>
                <w:szCs w:val="24"/>
                <w:vertAlign w:val="subscript"/>
                <w:lang w:val="en-GB"/>
              </w:rPr>
              <w:t>2</w:t>
            </w:r>
            <w:r>
              <w:rPr>
                <w:rFonts w:hint="eastAsia"/>
                <w:color w:val="auto"/>
                <w:sz w:val="24"/>
                <w:szCs w:val="24"/>
                <w:lang w:val="en-GB"/>
              </w:rPr>
              <w:t>、NO</w:t>
            </w:r>
            <w:r>
              <w:rPr>
                <w:rFonts w:hint="eastAsia"/>
                <w:color w:val="auto"/>
                <w:sz w:val="24"/>
                <w:szCs w:val="24"/>
                <w:vertAlign w:val="subscript"/>
                <w:lang w:val="en-GB"/>
              </w:rPr>
              <w:t>X</w:t>
            </w:r>
            <w:r>
              <w:rPr>
                <w:color w:val="auto"/>
                <w:sz w:val="24"/>
                <w:szCs w:val="24"/>
                <w:lang w:val="en-GB"/>
              </w:rPr>
              <w:t>等污染物大幅度减少，对区域</w:t>
            </w:r>
            <w:r>
              <w:rPr>
                <w:rFonts w:hint="eastAsia"/>
                <w:color w:val="auto"/>
                <w:sz w:val="24"/>
                <w:szCs w:val="24"/>
                <w:lang w:val="en-GB"/>
              </w:rPr>
              <w:t>环境空气及</w:t>
            </w:r>
            <w:r>
              <w:rPr>
                <w:color w:val="auto"/>
                <w:sz w:val="24"/>
                <w:szCs w:val="24"/>
                <w:lang w:val="en-GB"/>
              </w:rPr>
              <w:t>生态环境具有积极影响。</w:t>
            </w:r>
          </w:p>
          <w:p>
            <w:pPr>
              <w:spacing w:line="360" w:lineRule="auto"/>
              <w:ind w:firstLine="480" w:firstLineChars="200"/>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tc>
      </w:tr>
    </w:tbl>
    <w:p>
      <w:pPr>
        <w:outlineLvl w:val="0"/>
        <w:rPr>
          <w:rFonts w:eastAsia="黑体"/>
          <w:color w:val="auto"/>
          <w:sz w:val="30"/>
          <w:szCs w:val="30"/>
        </w:rPr>
      </w:pPr>
      <w:r>
        <w:rPr>
          <w:rFonts w:eastAsia="黑体"/>
          <w:color w:val="auto"/>
          <w:sz w:val="30"/>
          <w:szCs w:val="30"/>
        </w:rPr>
        <w:br w:type="page"/>
      </w:r>
      <w:r>
        <w:rPr>
          <w:rFonts w:eastAsia="黑体"/>
          <w:color w:val="auto"/>
          <w:sz w:val="30"/>
          <w:szCs w:val="30"/>
        </w:rPr>
        <w:t>环境影响分析</w:t>
      </w:r>
    </w:p>
    <w:tbl>
      <w:tblPr>
        <w:tblStyle w:val="26"/>
        <w:tblW w:w="928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fixed"/>
        <w:tblCellMar>
          <w:top w:w="0" w:type="dxa"/>
          <w:left w:w="108" w:type="dxa"/>
          <w:bottom w:w="0" w:type="dxa"/>
          <w:right w:w="108" w:type="dxa"/>
        </w:tblCellMar>
      </w:tblPr>
      <w:tblGrid>
        <w:gridCol w:w="92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fixed"/>
          <w:tblCellMar>
            <w:top w:w="0" w:type="dxa"/>
            <w:left w:w="108" w:type="dxa"/>
            <w:bottom w:w="0" w:type="dxa"/>
            <w:right w:w="108" w:type="dxa"/>
          </w:tblCellMar>
        </w:tblPrEx>
        <w:trPr>
          <w:jc w:val="center"/>
        </w:trPr>
        <w:tc>
          <w:tcPr>
            <w:tcW w:w="9287" w:type="dxa"/>
          </w:tcPr>
          <w:p>
            <w:pPr>
              <w:spacing w:before="156" w:beforeLines="50" w:after="156" w:afterLines="50"/>
              <w:rPr>
                <w:color w:val="auto"/>
                <w:sz w:val="28"/>
                <w:szCs w:val="28"/>
              </w:rPr>
            </w:pPr>
            <w:r>
              <w:rPr>
                <w:color w:val="auto"/>
                <w:sz w:val="28"/>
                <w:szCs w:val="28"/>
              </w:rPr>
              <w:t>施工期环境影响简要分析：</w:t>
            </w:r>
          </w:p>
          <w:p>
            <w:pPr>
              <w:spacing w:line="360" w:lineRule="auto"/>
              <w:ind w:firstLine="480" w:firstLineChars="200"/>
              <w:rPr>
                <w:color w:val="auto"/>
                <w:sz w:val="24"/>
                <w:szCs w:val="24"/>
              </w:rPr>
            </w:pPr>
            <w:r>
              <w:rPr>
                <w:rFonts w:hint="eastAsia"/>
                <w:color w:val="auto"/>
                <w:sz w:val="24"/>
                <w:szCs w:val="24"/>
              </w:rPr>
              <w:t>本项目已正式运行，施工期设备安装产生的噪声、扬尘等影响随着施工期结束消失。</w:t>
            </w:r>
          </w:p>
          <w:p>
            <w:pPr>
              <w:spacing w:line="360" w:lineRule="auto"/>
              <w:ind w:firstLine="480" w:firstLineChars="200"/>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fixed"/>
          <w:tblCellMar>
            <w:top w:w="0" w:type="dxa"/>
            <w:left w:w="108" w:type="dxa"/>
            <w:bottom w:w="0" w:type="dxa"/>
            <w:right w:w="108" w:type="dxa"/>
          </w:tblCellMar>
        </w:tblPrEx>
        <w:trPr>
          <w:trHeight w:val="3243" w:hRule="atLeast"/>
          <w:jc w:val="center"/>
        </w:trPr>
        <w:tc>
          <w:tcPr>
            <w:tcW w:w="9287" w:type="dxa"/>
          </w:tcPr>
          <w:p>
            <w:pPr>
              <w:spacing w:before="156" w:beforeLines="50" w:after="156" w:afterLines="50"/>
              <w:rPr>
                <w:color w:val="auto"/>
                <w:sz w:val="28"/>
                <w:szCs w:val="28"/>
              </w:rPr>
            </w:pPr>
            <w:r>
              <w:rPr>
                <w:color w:val="auto"/>
                <w:sz w:val="28"/>
                <w:szCs w:val="28"/>
              </w:rPr>
              <w:t>营运期环境影响分析：</w:t>
            </w:r>
          </w:p>
          <w:p>
            <w:pPr>
              <w:spacing w:line="360" w:lineRule="auto"/>
              <w:rPr>
                <w:b/>
                <w:bCs/>
                <w:color w:val="auto"/>
                <w:sz w:val="24"/>
                <w:szCs w:val="24"/>
              </w:rPr>
            </w:pPr>
            <w:r>
              <w:rPr>
                <w:b/>
                <w:bCs/>
                <w:color w:val="auto"/>
                <w:sz w:val="24"/>
                <w:szCs w:val="24"/>
              </w:rPr>
              <w:t>一、大气环境影响分析</w:t>
            </w:r>
          </w:p>
          <w:p>
            <w:pPr>
              <w:spacing w:line="360" w:lineRule="auto"/>
              <w:ind w:firstLine="480" w:firstLineChars="200"/>
              <w:rPr>
                <w:color w:val="auto"/>
                <w:sz w:val="24"/>
                <w:szCs w:val="24"/>
              </w:rPr>
            </w:pPr>
            <w:r>
              <w:rPr>
                <w:color w:val="auto"/>
                <w:sz w:val="24"/>
                <w:szCs w:val="24"/>
              </w:rPr>
              <w:t>1、</w:t>
            </w:r>
            <w:r>
              <w:rPr>
                <w:rFonts w:hint="eastAsia"/>
                <w:color w:val="auto"/>
                <w:sz w:val="24"/>
                <w:szCs w:val="24"/>
              </w:rPr>
              <w:t>废气污染源强</w:t>
            </w:r>
          </w:p>
          <w:p>
            <w:pPr>
              <w:spacing w:line="360" w:lineRule="auto"/>
              <w:ind w:firstLine="480" w:firstLineChars="200"/>
              <w:rPr>
                <w:color w:val="auto"/>
                <w:sz w:val="24"/>
                <w:szCs w:val="24"/>
              </w:rPr>
            </w:pPr>
            <w:r>
              <w:rPr>
                <w:rFonts w:hint="eastAsia"/>
                <w:color w:val="auto"/>
                <w:sz w:val="24"/>
                <w:szCs w:val="24"/>
              </w:rPr>
              <w:t>项目有组织废气污染源计算清单</w:t>
            </w:r>
            <w:r>
              <w:rPr>
                <w:color w:val="auto"/>
                <w:sz w:val="24"/>
                <w:szCs w:val="24"/>
              </w:rPr>
              <w:t>见表21</w:t>
            </w:r>
            <w:r>
              <w:rPr>
                <w:rFonts w:hint="eastAsia"/>
                <w:color w:val="auto"/>
                <w:sz w:val="24"/>
                <w:szCs w:val="24"/>
              </w:rPr>
              <w:t>，无组织废气污染源计算清单见表</w:t>
            </w:r>
            <w:r>
              <w:rPr>
                <w:color w:val="auto"/>
                <w:sz w:val="24"/>
                <w:szCs w:val="24"/>
              </w:rPr>
              <w:t>22</w:t>
            </w:r>
            <w:r>
              <w:rPr>
                <w:rFonts w:hint="eastAsia"/>
                <w:color w:val="auto"/>
                <w:sz w:val="24"/>
                <w:szCs w:val="24"/>
              </w:rPr>
              <w:t>。</w:t>
            </w:r>
          </w:p>
          <w:p>
            <w:pPr>
              <w:spacing w:line="360" w:lineRule="auto"/>
              <w:jc w:val="center"/>
              <w:rPr>
                <w:rFonts w:eastAsia="黑体"/>
                <w:color w:val="auto"/>
                <w:sz w:val="24"/>
                <w:szCs w:val="24"/>
              </w:rPr>
            </w:pPr>
            <w:r>
              <w:rPr>
                <w:rFonts w:eastAsia="黑体"/>
                <w:color w:val="auto"/>
                <w:sz w:val="24"/>
                <w:szCs w:val="24"/>
              </w:rPr>
              <w:t>表21</w:t>
            </w:r>
            <w:r>
              <w:rPr>
                <w:rFonts w:hint="eastAsia" w:eastAsia="黑体"/>
                <w:color w:val="auto"/>
                <w:sz w:val="24"/>
                <w:szCs w:val="24"/>
              </w:rPr>
              <w:t xml:space="preserve">  项目有组织废气</w:t>
            </w:r>
            <w:r>
              <w:rPr>
                <w:rFonts w:eastAsia="黑体"/>
                <w:color w:val="auto"/>
                <w:sz w:val="24"/>
                <w:szCs w:val="24"/>
              </w:rPr>
              <w:t>排放源强一览表</w:t>
            </w:r>
          </w:p>
          <w:tbl>
            <w:tblPr>
              <w:tblStyle w:val="26"/>
              <w:tblW w:w="904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
            <w:tblGrid>
              <w:gridCol w:w="1309"/>
              <w:gridCol w:w="1206"/>
              <w:gridCol w:w="1170"/>
              <w:gridCol w:w="1029"/>
              <w:gridCol w:w="1029"/>
              <w:gridCol w:w="1206"/>
              <w:gridCol w:w="1208"/>
              <w:gridCol w:w="8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c>
                <w:tcPr>
                  <w:tcW w:w="1309" w:type="dxa"/>
                  <w:vMerge w:val="restart"/>
                  <w:shd w:val="clear" w:color="auto" w:fill="auto"/>
                  <w:vAlign w:val="center"/>
                </w:tcPr>
                <w:p>
                  <w:pPr>
                    <w:jc w:val="center"/>
                    <w:rPr>
                      <w:color w:val="auto"/>
                    </w:rPr>
                  </w:pPr>
                  <w:r>
                    <w:rPr>
                      <w:color w:val="auto"/>
                    </w:rPr>
                    <w:t>污染源</w:t>
                  </w:r>
                </w:p>
              </w:tc>
              <w:tc>
                <w:tcPr>
                  <w:tcW w:w="1206" w:type="dxa"/>
                  <w:vMerge w:val="restart"/>
                  <w:shd w:val="clear" w:color="auto" w:fill="auto"/>
                  <w:vAlign w:val="center"/>
                </w:tcPr>
                <w:p>
                  <w:pPr>
                    <w:jc w:val="center"/>
                    <w:rPr>
                      <w:color w:val="auto"/>
                    </w:rPr>
                  </w:pPr>
                  <w:r>
                    <w:rPr>
                      <w:color w:val="auto"/>
                    </w:rPr>
                    <w:t>污染物</w:t>
                  </w:r>
                </w:p>
              </w:tc>
              <w:tc>
                <w:tcPr>
                  <w:tcW w:w="1170" w:type="dxa"/>
                  <w:vMerge w:val="restart"/>
                  <w:shd w:val="clear" w:color="auto" w:fill="auto"/>
                  <w:vAlign w:val="center"/>
                </w:tcPr>
                <w:p>
                  <w:pPr>
                    <w:jc w:val="center"/>
                    <w:rPr>
                      <w:color w:val="auto"/>
                    </w:rPr>
                  </w:pPr>
                  <w:r>
                    <w:rPr>
                      <w:rFonts w:hint="eastAsia"/>
                      <w:color w:val="auto"/>
                    </w:rPr>
                    <w:t>烟</w:t>
                  </w:r>
                  <w:r>
                    <w:rPr>
                      <w:color w:val="auto"/>
                    </w:rPr>
                    <w:t>气量（</w:t>
                  </w:r>
                  <w:r>
                    <w:rPr>
                      <w:rFonts w:hint="eastAsia"/>
                      <w:color w:val="auto"/>
                    </w:rPr>
                    <w:t>N</w:t>
                  </w:r>
                  <w:r>
                    <w:rPr>
                      <w:color w:val="auto"/>
                    </w:rPr>
                    <w:t>m</w:t>
                  </w:r>
                  <w:r>
                    <w:rPr>
                      <w:color w:val="auto"/>
                      <w:vertAlign w:val="superscript"/>
                    </w:rPr>
                    <w:t>3</w:t>
                  </w:r>
                  <w:r>
                    <w:rPr>
                      <w:color w:val="auto"/>
                    </w:rPr>
                    <w:t>/h）</w:t>
                  </w:r>
                </w:p>
              </w:tc>
              <w:tc>
                <w:tcPr>
                  <w:tcW w:w="1029" w:type="dxa"/>
                  <w:vMerge w:val="restart"/>
                  <w:shd w:val="clear" w:color="auto" w:fill="auto"/>
                  <w:vAlign w:val="center"/>
                </w:tcPr>
                <w:p>
                  <w:pPr>
                    <w:rPr>
                      <w:color w:val="auto"/>
                    </w:rPr>
                  </w:pPr>
                  <w:r>
                    <w:rPr>
                      <w:color w:val="auto"/>
                    </w:rPr>
                    <w:t>污染源强（</w:t>
                  </w:r>
                  <w:r>
                    <w:rPr>
                      <w:rFonts w:hint="eastAsia"/>
                      <w:color w:val="auto"/>
                    </w:rPr>
                    <w:t>kg/h</w:t>
                  </w:r>
                  <w:r>
                    <w:rPr>
                      <w:color w:val="auto"/>
                    </w:rPr>
                    <w:t>）</w:t>
                  </w:r>
                </w:p>
              </w:tc>
              <w:tc>
                <w:tcPr>
                  <w:tcW w:w="3443" w:type="dxa"/>
                  <w:gridSpan w:val="3"/>
                  <w:shd w:val="clear" w:color="auto" w:fill="auto"/>
                  <w:vAlign w:val="center"/>
                </w:tcPr>
                <w:p>
                  <w:pPr>
                    <w:jc w:val="center"/>
                    <w:rPr>
                      <w:color w:val="auto"/>
                    </w:rPr>
                  </w:pPr>
                  <w:r>
                    <w:rPr>
                      <w:color w:val="auto"/>
                    </w:rPr>
                    <w:t>排放参数</w:t>
                  </w:r>
                </w:p>
              </w:tc>
              <w:tc>
                <w:tcPr>
                  <w:tcW w:w="884" w:type="dxa"/>
                  <w:vMerge w:val="restart"/>
                  <w:shd w:val="clear" w:color="auto" w:fill="auto"/>
                  <w:vAlign w:val="center"/>
                </w:tcPr>
                <w:p>
                  <w:pPr>
                    <w:jc w:val="center"/>
                    <w:rPr>
                      <w:color w:val="auto"/>
                    </w:rPr>
                  </w:pPr>
                  <w:r>
                    <w:rPr>
                      <w:color w:val="auto"/>
                    </w:rPr>
                    <w:t>排放小时数（h）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c>
                <w:tcPr>
                  <w:tcW w:w="1309" w:type="dxa"/>
                  <w:vMerge w:val="continue"/>
                  <w:shd w:val="clear" w:color="auto" w:fill="auto"/>
                  <w:vAlign w:val="center"/>
                </w:tcPr>
                <w:p>
                  <w:pPr>
                    <w:jc w:val="center"/>
                    <w:rPr>
                      <w:color w:val="auto"/>
                    </w:rPr>
                  </w:pPr>
                </w:p>
              </w:tc>
              <w:tc>
                <w:tcPr>
                  <w:tcW w:w="1206" w:type="dxa"/>
                  <w:vMerge w:val="continue"/>
                  <w:shd w:val="clear" w:color="auto" w:fill="auto"/>
                  <w:vAlign w:val="center"/>
                </w:tcPr>
                <w:p>
                  <w:pPr>
                    <w:jc w:val="center"/>
                    <w:rPr>
                      <w:color w:val="auto"/>
                    </w:rPr>
                  </w:pPr>
                </w:p>
              </w:tc>
              <w:tc>
                <w:tcPr>
                  <w:tcW w:w="1170" w:type="dxa"/>
                  <w:vMerge w:val="continue"/>
                  <w:shd w:val="clear" w:color="auto" w:fill="auto"/>
                  <w:vAlign w:val="center"/>
                </w:tcPr>
                <w:p>
                  <w:pPr>
                    <w:jc w:val="center"/>
                    <w:rPr>
                      <w:color w:val="auto"/>
                    </w:rPr>
                  </w:pPr>
                </w:p>
              </w:tc>
              <w:tc>
                <w:tcPr>
                  <w:tcW w:w="1029" w:type="dxa"/>
                  <w:vMerge w:val="continue"/>
                  <w:shd w:val="clear" w:color="auto" w:fill="auto"/>
                  <w:vAlign w:val="center"/>
                </w:tcPr>
                <w:p>
                  <w:pPr>
                    <w:jc w:val="center"/>
                    <w:rPr>
                      <w:color w:val="auto"/>
                    </w:rPr>
                  </w:pPr>
                </w:p>
              </w:tc>
              <w:tc>
                <w:tcPr>
                  <w:tcW w:w="1029" w:type="dxa"/>
                  <w:shd w:val="clear" w:color="auto" w:fill="auto"/>
                  <w:vAlign w:val="center"/>
                </w:tcPr>
                <w:p>
                  <w:pPr>
                    <w:jc w:val="center"/>
                    <w:rPr>
                      <w:color w:val="auto"/>
                    </w:rPr>
                  </w:pPr>
                  <w:r>
                    <w:rPr>
                      <w:color w:val="auto"/>
                    </w:rPr>
                    <w:t>高度（m）</w:t>
                  </w:r>
                </w:p>
              </w:tc>
              <w:tc>
                <w:tcPr>
                  <w:tcW w:w="1206" w:type="dxa"/>
                  <w:shd w:val="clear" w:color="auto" w:fill="auto"/>
                  <w:vAlign w:val="center"/>
                </w:tcPr>
                <w:p>
                  <w:pPr>
                    <w:jc w:val="center"/>
                    <w:rPr>
                      <w:color w:val="auto"/>
                    </w:rPr>
                  </w:pPr>
                  <w:r>
                    <w:rPr>
                      <w:color w:val="auto"/>
                    </w:rPr>
                    <w:t>内径（m）</w:t>
                  </w:r>
                </w:p>
              </w:tc>
              <w:tc>
                <w:tcPr>
                  <w:tcW w:w="1208" w:type="dxa"/>
                  <w:shd w:val="clear" w:color="auto" w:fill="auto"/>
                  <w:vAlign w:val="center"/>
                </w:tcPr>
                <w:p>
                  <w:pPr>
                    <w:jc w:val="center"/>
                    <w:rPr>
                      <w:color w:val="auto"/>
                    </w:rPr>
                  </w:pPr>
                  <w:r>
                    <w:rPr>
                      <w:color w:val="auto"/>
                    </w:rPr>
                    <w:t>温度（</w:t>
                  </w:r>
                  <w:r>
                    <w:rPr>
                      <w:rFonts w:hint="eastAsia" w:ascii="宋体" w:hAnsi="宋体" w:cs="宋体"/>
                      <w:color w:val="auto"/>
                    </w:rPr>
                    <w:t>℃</w:t>
                  </w:r>
                  <w:r>
                    <w:rPr>
                      <w:color w:val="auto"/>
                    </w:rPr>
                    <w:t>）</w:t>
                  </w:r>
                </w:p>
              </w:tc>
              <w:tc>
                <w:tcPr>
                  <w:tcW w:w="884" w:type="dxa"/>
                  <w:vMerge w:val="continue"/>
                  <w:shd w:val="clear" w:color="auto" w:fill="auto"/>
                  <w:vAlign w:val="center"/>
                </w:tcPr>
                <w:p>
                  <w:pPr>
                    <w:jc w:val="center"/>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c>
                <w:tcPr>
                  <w:tcW w:w="1309" w:type="dxa"/>
                  <w:vMerge w:val="restart"/>
                  <w:shd w:val="clear" w:color="auto" w:fill="auto"/>
                  <w:vAlign w:val="center"/>
                </w:tcPr>
                <w:p>
                  <w:pPr>
                    <w:snapToGrid w:val="0"/>
                    <w:jc w:val="center"/>
                    <w:rPr>
                      <w:color w:val="auto"/>
                      <w:spacing w:val="-20"/>
                    </w:rPr>
                  </w:pPr>
                  <w:r>
                    <w:rPr>
                      <w:rFonts w:hint="eastAsia"/>
                      <w:color w:val="auto"/>
                    </w:rPr>
                    <w:t>1#烟囱</w:t>
                  </w:r>
                </w:p>
              </w:tc>
              <w:tc>
                <w:tcPr>
                  <w:tcW w:w="1206" w:type="dxa"/>
                  <w:shd w:val="clear" w:color="auto" w:fill="auto"/>
                  <w:vAlign w:val="center"/>
                </w:tcPr>
                <w:p>
                  <w:pPr>
                    <w:jc w:val="center"/>
                    <w:rPr>
                      <w:color w:val="auto"/>
                    </w:rPr>
                  </w:pPr>
                  <w:r>
                    <w:rPr>
                      <w:rFonts w:hint="eastAsia"/>
                      <w:color w:val="auto"/>
                    </w:rPr>
                    <w:t>颗粒物</w:t>
                  </w:r>
                </w:p>
              </w:tc>
              <w:tc>
                <w:tcPr>
                  <w:tcW w:w="1170" w:type="dxa"/>
                  <w:vMerge w:val="restart"/>
                  <w:shd w:val="clear" w:color="auto" w:fill="auto"/>
                  <w:vAlign w:val="center"/>
                </w:tcPr>
                <w:p>
                  <w:pPr>
                    <w:snapToGrid w:val="0"/>
                    <w:jc w:val="center"/>
                    <w:rPr>
                      <w:color w:val="auto"/>
                    </w:rPr>
                  </w:pPr>
                  <w:r>
                    <w:rPr>
                      <w:rFonts w:hint="eastAsia"/>
                      <w:color w:val="auto"/>
                    </w:rPr>
                    <w:t>311192</w:t>
                  </w:r>
                </w:p>
              </w:tc>
              <w:tc>
                <w:tcPr>
                  <w:tcW w:w="1029" w:type="dxa"/>
                  <w:shd w:val="clear" w:color="auto" w:fill="auto"/>
                  <w:vAlign w:val="center"/>
                </w:tcPr>
                <w:p>
                  <w:pPr>
                    <w:jc w:val="center"/>
                    <w:rPr>
                      <w:color w:val="auto"/>
                    </w:rPr>
                  </w:pPr>
                  <w:r>
                    <w:rPr>
                      <w:rFonts w:hint="eastAsia"/>
                      <w:color w:val="auto"/>
                    </w:rPr>
                    <w:t>0.42</w:t>
                  </w:r>
                </w:p>
              </w:tc>
              <w:tc>
                <w:tcPr>
                  <w:tcW w:w="1029" w:type="dxa"/>
                  <w:vMerge w:val="restart"/>
                  <w:shd w:val="clear" w:color="auto" w:fill="auto"/>
                  <w:vAlign w:val="center"/>
                </w:tcPr>
                <w:p>
                  <w:pPr>
                    <w:snapToGrid w:val="0"/>
                    <w:jc w:val="center"/>
                    <w:rPr>
                      <w:color w:val="auto"/>
                    </w:rPr>
                  </w:pPr>
                  <w:r>
                    <w:rPr>
                      <w:rFonts w:hint="eastAsia"/>
                      <w:color w:val="auto"/>
                    </w:rPr>
                    <w:t>80</w:t>
                  </w:r>
                </w:p>
              </w:tc>
              <w:tc>
                <w:tcPr>
                  <w:tcW w:w="1206" w:type="dxa"/>
                  <w:vMerge w:val="restart"/>
                  <w:shd w:val="clear" w:color="auto" w:fill="auto"/>
                  <w:vAlign w:val="center"/>
                </w:tcPr>
                <w:p>
                  <w:pPr>
                    <w:snapToGrid w:val="0"/>
                    <w:jc w:val="center"/>
                    <w:rPr>
                      <w:color w:val="auto"/>
                    </w:rPr>
                  </w:pPr>
                  <w:r>
                    <w:rPr>
                      <w:rFonts w:hint="eastAsia"/>
                      <w:color w:val="auto"/>
                    </w:rPr>
                    <w:t>3</w:t>
                  </w:r>
                </w:p>
              </w:tc>
              <w:tc>
                <w:tcPr>
                  <w:tcW w:w="1208" w:type="dxa"/>
                  <w:vMerge w:val="restart"/>
                  <w:shd w:val="clear" w:color="auto" w:fill="auto"/>
                  <w:vAlign w:val="center"/>
                </w:tcPr>
                <w:p>
                  <w:pPr>
                    <w:snapToGrid w:val="0"/>
                    <w:jc w:val="center"/>
                    <w:rPr>
                      <w:color w:val="auto"/>
                    </w:rPr>
                  </w:pPr>
                  <w:r>
                    <w:rPr>
                      <w:rFonts w:hint="eastAsia"/>
                      <w:color w:val="auto"/>
                    </w:rPr>
                    <w:t>150</w:t>
                  </w:r>
                </w:p>
              </w:tc>
              <w:tc>
                <w:tcPr>
                  <w:tcW w:w="884" w:type="dxa"/>
                  <w:vMerge w:val="restart"/>
                  <w:shd w:val="clear" w:color="auto" w:fill="auto"/>
                  <w:vAlign w:val="center"/>
                </w:tcPr>
                <w:p>
                  <w:pPr>
                    <w:snapToGrid w:val="0"/>
                    <w:jc w:val="center"/>
                    <w:rPr>
                      <w:color w:val="auto"/>
                    </w:rPr>
                  </w:pPr>
                  <w:r>
                    <w:rPr>
                      <w:color w:val="auto"/>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c>
                <w:tcPr>
                  <w:tcW w:w="1309" w:type="dxa"/>
                  <w:vMerge w:val="continue"/>
                  <w:shd w:val="clear" w:color="auto" w:fill="auto"/>
                  <w:vAlign w:val="center"/>
                </w:tcPr>
                <w:p>
                  <w:pPr>
                    <w:snapToGrid w:val="0"/>
                    <w:jc w:val="center"/>
                    <w:rPr>
                      <w:color w:val="auto"/>
                    </w:rPr>
                  </w:pPr>
                </w:p>
              </w:tc>
              <w:tc>
                <w:tcPr>
                  <w:tcW w:w="1206" w:type="dxa"/>
                  <w:shd w:val="clear" w:color="auto" w:fill="auto"/>
                  <w:vAlign w:val="center"/>
                </w:tcPr>
                <w:p>
                  <w:pPr>
                    <w:jc w:val="center"/>
                    <w:rPr>
                      <w:color w:val="auto"/>
                    </w:rPr>
                  </w:pPr>
                  <w:r>
                    <w:rPr>
                      <w:rFonts w:hint="eastAsia"/>
                      <w:color w:val="auto"/>
                    </w:rPr>
                    <w:t>SO</w:t>
                  </w:r>
                  <w:r>
                    <w:rPr>
                      <w:rFonts w:hint="eastAsia"/>
                      <w:color w:val="auto"/>
                      <w:vertAlign w:val="subscript"/>
                    </w:rPr>
                    <w:t>2</w:t>
                  </w:r>
                </w:p>
              </w:tc>
              <w:tc>
                <w:tcPr>
                  <w:tcW w:w="1170" w:type="dxa"/>
                  <w:vMerge w:val="continue"/>
                  <w:shd w:val="clear" w:color="auto" w:fill="auto"/>
                  <w:vAlign w:val="center"/>
                </w:tcPr>
                <w:p>
                  <w:pPr>
                    <w:snapToGrid w:val="0"/>
                    <w:jc w:val="center"/>
                    <w:rPr>
                      <w:color w:val="auto"/>
                    </w:rPr>
                  </w:pPr>
                </w:p>
              </w:tc>
              <w:tc>
                <w:tcPr>
                  <w:tcW w:w="1029" w:type="dxa"/>
                  <w:shd w:val="clear" w:color="auto" w:fill="auto"/>
                  <w:vAlign w:val="center"/>
                </w:tcPr>
                <w:p>
                  <w:pPr>
                    <w:jc w:val="center"/>
                    <w:rPr>
                      <w:color w:val="auto"/>
                    </w:rPr>
                  </w:pPr>
                  <w:r>
                    <w:rPr>
                      <w:rFonts w:hint="eastAsia"/>
                      <w:color w:val="auto"/>
                    </w:rPr>
                    <w:t>5.01</w:t>
                  </w:r>
                </w:p>
              </w:tc>
              <w:tc>
                <w:tcPr>
                  <w:tcW w:w="1029" w:type="dxa"/>
                  <w:vMerge w:val="continue"/>
                  <w:shd w:val="clear" w:color="auto" w:fill="auto"/>
                  <w:vAlign w:val="center"/>
                </w:tcPr>
                <w:p>
                  <w:pPr>
                    <w:snapToGrid w:val="0"/>
                    <w:jc w:val="center"/>
                    <w:rPr>
                      <w:color w:val="auto"/>
                    </w:rPr>
                  </w:pPr>
                </w:p>
              </w:tc>
              <w:tc>
                <w:tcPr>
                  <w:tcW w:w="1206" w:type="dxa"/>
                  <w:vMerge w:val="continue"/>
                  <w:shd w:val="clear" w:color="auto" w:fill="auto"/>
                  <w:vAlign w:val="center"/>
                </w:tcPr>
                <w:p>
                  <w:pPr>
                    <w:snapToGrid w:val="0"/>
                    <w:jc w:val="center"/>
                    <w:rPr>
                      <w:color w:val="auto"/>
                    </w:rPr>
                  </w:pPr>
                </w:p>
              </w:tc>
              <w:tc>
                <w:tcPr>
                  <w:tcW w:w="1208" w:type="dxa"/>
                  <w:vMerge w:val="continue"/>
                  <w:shd w:val="clear" w:color="auto" w:fill="auto"/>
                  <w:vAlign w:val="center"/>
                </w:tcPr>
                <w:p>
                  <w:pPr>
                    <w:snapToGrid w:val="0"/>
                    <w:jc w:val="center"/>
                    <w:rPr>
                      <w:color w:val="auto"/>
                    </w:rPr>
                  </w:pPr>
                </w:p>
              </w:tc>
              <w:tc>
                <w:tcPr>
                  <w:tcW w:w="884" w:type="dxa"/>
                  <w:vMerge w:val="continue"/>
                  <w:shd w:val="clear" w:color="auto" w:fill="auto"/>
                  <w:vAlign w:val="center"/>
                </w:tcPr>
                <w:p>
                  <w:pPr>
                    <w:snapToGrid w:val="0"/>
                    <w:jc w:val="center"/>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c>
                <w:tcPr>
                  <w:tcW w:w="1309" w:type="dxa"/>
                  <w:vMerge w:val="continue"/>
                  <w:shd w:val="clear" w:color="auto" w:fill="auto"/>
                  <w:vAlign w:val="center"/>
                </w:tcPr>
                <w:p>
                  <w:pPr>
                    <w:snapToGrid w:val="0"/>
                    <w:jc w:val="center"/>
                    <w:rPr>
                      <w:color w:val="auto"/>
                    </w:rPr>
                  </w:pPr>
                </w:p>
              </w:tc>
              <w:tc>
                <w:tcPr>
                  <w:tcW w:w="1206" w:type="dxa"/>
                  <w:shd w:val="clear" w:color="auto" w:fill="auto"/>
                  <w:vAlign w:val="center"/>
                </w:tcPr>
                <w:p>
                  <w:pPr>
                    <w:jc w:val="center"/>
                    <w:rPr>
                      <w:color w:val="auto"/>
                    </w:rPr>
                  </w:pPr>
                  <w:r>
                    <w:rPr>
                      <w:rFonts w:hint="eastAsia"/>
                      <w:color w:val="auto"/>
                    </w:rPr>
                    <w:t>NO</w:t>
                  </w:r>
                  <w:r>
                    <w:rPr>
                      <w:rFonts w:hint="eastAsia"/>
                      <w:color w:val="auto"/>
                      <w:vertAlign w:val="subscript"/>
                    </w:rPr>
                    <w:t>X</w:t>
                  </w:r>
                </w:p>
              </w:tc>
              <w:tc>
                <w:tcPr>
                  <w:tcW w:w="1170" w:type="dxa"/>
                  <w:vMerge w:val="continue"/>
                  <w:shd w:val="clear" w:color="auto" w:fill="auto"/>
                  <w:vAlign w:val="center"/>
                </w:tcPr>
                <w:p>
                  <w:pPr>
                    <w:snapToGrid w:val="0"/>
                    <w:jc w:val="center"/>
                    <w:rPr>
                      <w:color w:val="auto"/>
                    </w:rPr>
                  </w:pPr>
                </w:p>
              </w:tc>
              <w:tc>
                <w:tcPr>
                  <w:tcW w:w="1029" w:type="dxa"/>
                  <w:shd w:val="clear" w:color="auto" w:fill="auto"/>
                  <w:vAlign w:val="center"/>
                </w:tcPr>
                <w:p>
                  <w:pPr>
                    <w:jc w:val="center"/>
                    <w:rPr>
                      <w:color w:val="auto"/>
                    </w:rPr>
                  </w:pPr>
                  <w:r>
                    <w:rPr>
                      <w:rFonts w:hint="eastAsia"/>
                      <w:color w:val="auto"/>
                    </w:rPr>
                    <w:t>22.50</w:t>
                  </w:r>
                </w:p>
              </w:tc>
              <w:tc>
                <w:tcPr>
                  <w:tcW w:w="1029" w:type="dxa"/>
                  <w:vMerge w:val="continue"/>
                  <w:shd w:val="clear" w:color="auto" w:fill="auto"/>
                  <w:vAlign w:val="center"/>
                </w:tcPr>
                <w:p>
                  <w:pPr>
                    <w:snapToGrid w:val="0"/>
                    <w:jc w:val="center"/>
                    <w:rPr>
                      <w:color w:val="auto"/>
                    </w:rPr>
                  </w:pPr>
                </w:p>
              </w:tc>
              <w:tc>
                <w:tcPr>
                  <w:tcW w:w="1206" w:type="dxa"/>
                  <w:vMerge w:val="continue"/>
                  <w:shd w:val="clear" w:color="auto" w:fill="auto"/>
                  <w:vAlign w:val="center"/>
                </w:tcPr>
                <w:p>
                  <w:pPr>
                    <w:snapToGrid w:val="0"/>
                    <w:jc w:val="center"/>
                    <w:rPr>
                      <w:color w:val="auto"/>
                    </w:rPr>
                  </w:pPr>
                </w:p>
              </w:tc>
              <w:tc>
                <w:tcPr>
                  <w:tcW w:w="1208" w:type="dxa"/>
                  <w:vMerge w:val="continue"/>
                  <w:shd w:val="clear" w:color="auto" w:fill="auto"/>
                  <w:vAlign w:val="center"/>
                </w:tcPr>
                <w:p>
                  <w:pPr>
                    <w:snapToGrid w:val="0"/>
                    <w:jc w:val="center"/>
                    <w:rPr>
                      <w:color w:val="auto"/>
                    </w:rPr>
                  </w:pPr>
                </w:p>
              </w:tc>
              <w:tc>
                <w:tcPr>
                  <w:tcW w:w="884" w:type="dxa"/>
                  <w:vMerge w:val="continue"/>
                  <w:shd w:val="clear" w:color="auto" w:fill="auto"/>
                  <w:vAlign w:val="center"/>
                </w:tcPr>
                <w:p>
                  <w:pPr>
                    <w:snapToGrid w:val="0"/>
                    <w:jc w:val="center"/>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c>
                <w:tcPr>
                  <w:tcW w:w="1309" w:type="dxa"/>
                  <w:vMerge w:val="continue"/>
                  <w:shd w:val="clear" w:color="auto" w:fill="auto"/>
                  <w:vAlign w:val="center"/>
                </w:tcPr>
                <w:p>
                  <w:pPr>
                    <w:snapToGrid w:val="0"/>
                    <w:jc w:val="center"/>
                    <w:rPr>
                      <w:color w:val="auto"/>
                    </w:rPr>
                  </w:pPr>
                </w:p>
              </w:tc>
              <w:tc>
                <w:tcPr>
                  <w:tcW w:w="1206" w:type="dxa"/>
                  <w:shd w:val="clear" w:color="auto" w:fill="auto"/>
                  <w:vAlign w:val="center"/>
                </w:tcPr>
                <w:p>
                  <w:pPr>
                    <w:jc w:val="center"/>
                    <w:rPr>
                      <w:color w:val="auto"/>
                    </w:rPr>
                  </w:pPr>
                  <w:r>
                    <w:rPr>
                      <w:rFonts w:hint="eastAsia"/>
                      <w:color w:val="auto"/>
                    </w:rPr>
                    <w:t>NH</w:t>
                  </w:r>
                  <w:r>
                    <w:rPr>
                      <w:rFonts w:hint="eastAsia"/>
                      <w:color w:val="auto"/>
                      <w:vertAlign w:val="subscript"/>
                    </w:rPr>
                    <w:t>3</w:t>
                  </w:r>
                </w:p>
              </w:tc>
              <w:tc>
                <w:tcPr>
                  <w:tcW w:w="1170" w:type="dxa"/>
                  <w:vMerge w:val="continue"/>
                  <w:shd w:val="clear" w:color="auto" w:fill="auto"/>
                  <w:vAlign w:val="center"/>
                </w:tcPr>
                <w:p>
                  <w:pPr>
                    <w:snapToGrid w:val="0"/>
                    <w:jc w:val="center"/>
                    <w:rPr>
                      <w:color w:val="auto"/>
                    </w:rPr>
                  </w:pPr>
                </w:p>
              </w:tc>
              <w:tc>
                <w:tcPr>
                  <w:tcW w:w="1029" w:type="dxa"/>
                  <w:shd w:val="clear" w:color="auto" w:fill="auto"/>
                  <w:vAlign w:val="center"/>
                </w:tcPr>
                <w:p>
                  <w:pPr>
                    <w:jc w:val="center"/>
                    <w:rPr>
                      <w:color w:val="auto"/>
                    </w:rPr>
                  </w:pPr>
                  <w:r>
                    <w:rPr>
                      <w:rFonts w:hint="eastAsia"/>
                      <w:color w:val="auto"/>
                    </w:rPr>
                    <w:t>0.32</w:t>
                  </w:r>
                </w:p>
              </w:tc>
              <w:tc>
                <w:tcPr>
                  <w:tcW w:w="1029" w:type="dxa"/>
                  <w:vMerge w:val="continue"/>
                  <w:shd w:val="clear" w:color="auto" w:fill="auto"/>
                  <w:vAlign w:val="center"/>
                </w:tcPr>
                <w:p>
                  <w:pPr>
                    <w:snapToGrid w:val="0"/>
                    <w:jc w:val="center"/>
                    <w:rPr>
                      <w:color w:val="auto"/>
                    </w:rPr>
                  </w:pPr>
                </w:p>
              </w:tc>
              <w:tc>
                <w:tcPr>
                  <w:tcW w:w="1206" w:type="dxa"/>
                  <w:vMerge w:val="continue"/>
                  <w:shd w:val="clear" w:color="auto" w:fill="auto"/>
                  <w:vAlign w:val="center"/>
                </w:tcPr>
                <w:p>
                  <w:pPr>
                    <w:snapToGrid w:val="0"/>
                    <w:jc w:val="center"/>
                    <w:rPr>
                      <w:color w:val="auto"/>
                    </w:rPr>
                  </w:pPr>
                </w:p>
              </w:tc>
              <w:tc>
                <w:tcPr>
                  <w:tcW w:w="1208" w:type="dxa"/>
                  <w:vMerge w:val="continue"/>
                  <w:shd w:val="clear" w:color="auto" w:fill="auto"/>
                  <w:vAlign w:val="center"/>
                </w:tcPr>
                <w:p>
                  <w:pPr>
                    <w:snapToGrid w:val="0"/>
                    <w:jc w:val="center"/>
                    <w:rPr>
                      <w:color w:val="auto"/>
                    </w:rPr>
                  </w:pPr>
                </w:p>
              </w:tc>
              <w:tc>
                <w:tcPr>
                  <w:tcW w:w="884" w:type="dxa"/>
                  <w:vMerge w:val="continue"/>
                  <w:shd w:val="clear" w:color="auto" w:fill="auto"/>
                  <w:vAlign w:val="center"/>
                </w:tcPr>
                <w:p>
                  <w:pPr>
                    <w:snapToGrid w:val="0"/>
                    <w:jc w:val="center"/>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c>
                <w:tcPr>
                  <w:tcW w:w="1309" w:type="dxa"/>
                  <w:vMerge w:val="restart"/>
                  <w:shd w:val="clear" w:color="auto" w:fill="auto"/>
                  <w:vAlign w:val="center"/>
                </w:tcPr>
                <w:p>
                  <w:pPr>
                    <w:snapToGrid w:val="0"/>
                    <w:jc w:val="center"/>
                    <w:rPr>
                      <w:color w:val="auto"/>
                    </w:rPr>
                  </w:pPr>
                  <w:r>
                    <w:rPr>
                      <w:rFonts w:hint="eastAsia"/>
                      <w:color w:val="auto"/>
                    </w:rPr>
                    <w:t>2#烟囱</w:t>
                  </w:r>
                </w:p>
              </w:tc>
              <w:tc>
                <w:tcPr>
                  <w:tcW w:w="1206" w:type="dxa"/>
                  <w:shd w:val="clear" w:color="auto" w:fill="auto"/>
                  <w:vAlign w:val="center"/>
                </w:tcPr>
                <w:p>
                  <w:pPr>
                    <w:jc w:val="center"/>
                    <w:rPr>
                      <w:color w:val="auto"/>
                    </w:rPr>
                  </w:pPr>
                  <w:r>
                    <w:rPr>
                      <w:rFonts w:hint="eastAsia"/>
                      <w:color w:val="auto"/>
                    </w:rPr>
                    <w:t>颗粒物</w:t>
                  </w:r>
                </w:p>
              </w:tc>
              <w:tc>
                <w:tcPr>
                  <w:tcW w:w="1170" w:type="dxa"/>
                  <w:vMerge w:val="restart"/>
                  <w:shd w:val="clear" w:color="auto" w:fill="auto"/>
                  <w:vAlign w:val="center"/>
                </w:tcPr>
                <w:p>
                  <w:pPr>
                    <w:snapToGrid w:val="0"/>
                    <w:jc w:val="center"/>
                    <w:rPr>
                      <w:color w:val="auto"/>
                    </w:rPr>
                  </w:pPr>
                  <w:r>
                    <w:rPr>
                      <w:rFonts w:hint="eastAsia"/>
                      <w:color w:val="auto"/>
                    </w:rPr>
                    <w:t>232248</w:t>
                  </w:r>
                </w:p>
              </w:tc>
              <w:tc>
                <w:tcPr>
                  <w:tcW w:w="1029" w:type="dxa"/>
                  <w:shd w:val="clear" w:color="auto" w:fill="auto"/>
                  <w:vAlign w:val="center"/>
                </w:tcPr>
                <w:p>
                  <w:pPr>
                    <w:jc w:val="center"/>
                    <w:rPr>
                      <w:color w:val="auto"/>
                    </w:rPr>
                  </w:pPr>
                  <w:r>
                    <w:rPr>
                      <w:rFonts w:hint="eastAsia"/>
                      <w:color w:val="auto"/>
                    </w:rPr>
                    <w:t>0.29</w:t>
                  </w:r>
                </w:p>
              </w:tc>
              <w:tc>
                <w:tcPr>
                  <w:tcW w:w="1029" w:type="dxa"/>
                  <w:vMerge w:val="restart"/>
                  <w:shd w:val="clear" w:color="auto" w:fill="auto"/>
                  <w:vAlign w:val="center"/>
                </w:tcPr>
                <w:p>
                  <w:pPr>
                    <w:snapToGrid w:val="0"/>
                    <w:jc w:val="center"/>
                    <w:rPr>
                      <w:color w:val="auto"/>
                    </w:rPr>
                  </w:pPr>
                  <w:r>
                    <w:rPr>
                      <w:rFonts w:hint="eastAsia"/>
                      <w:color w:val="auto"/>
                    </w:rPr>
                    <w:t>80</w:t>
                  </w:r>
                </w:p>
              </w:tc>
              <w:tc>
                <w:tcPr>
                  <w:tcW w:w="1206" w:type="dxa"/>
                  <w:vMerge w:val="restart"/>
                  <w:shd w:val="clear" w:color="auto" w:fill="auto"/>
                  <w:vAlign w:val="center"/>
                </w:tcPr>
                <w:p>
                  <w:pPr>
                    <w:snapToGrid w:val="0"/>
                    <w:jc w:val="center"/>
                    <w:rPr>
                      <w:color w:val="auto"/>
                    </w:rPr>
                  </w:pPr>
                  <w:r>
                    <w:rPr>
                      <w:rFonts w:hint="eastAsia"/>
                      <w:color w:val="auto"/>
                    </w:rPr>
                    <w:t>3</w:t>
                  </w:r>
                </w:p>
              </w:tc>
              <w:tc>
                <w:tcPr>
                  <w:tcW w:w="1208" w:type="dxa"/>
                  <w:vMerge w:val="restart"/>
                  <w:shd w:val="clear" w:color="auto" w:fill="auto"/>
                  <w:vAlign w:val="center"/>
                </w:tcPr>
                <w:p>
                  <w:pPr>
                    <w:snapToGrid w:val="0"/>
                    <w:jc w:val="center"/>
                    <w:rPr>
                      <w:color w:val="auto"/>
                    </w:rPr>
                  </w:pPr>
                  <w:r>
                    <w:rPr>
                      <w:rFonts w:hint="eastAsia"/>
                      <w:color w:val="auto"/>
                    </w:rPr>
                    <w:t>150</w:t>
                  </w:r>
                </w:p>
              </w:tc>
              <w:tc>
                <w:tcPr>
                  <w:tcW w:w="884" w:type="dxa"/>
                  <w:vMerge w:val="restart"/>
                  <w:shd w:val="clear" w:color="auto" w:fill="auto"/>
                  <w:vAlign w:val="center"/>
                </w:tcPr>
                <w:p>
                  <w:pPr>
                    <w:snapToGrid w:val="0"/>
                    <w:jc w:val="center"/>
                    <w:rPr>
                      <w:color w:val="auto"/>
                    </w:rPr>
                  </w:pPr>
                  <w:r>
                    <w:rPr>
                      <w:color w:val="auto"/>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c>
                <w:tcPr>
                  <w:tcW w:w="1309" w:type="dxa"/>
                  <w:vMerge w:val="continue"/>
                  <w:shd w:val="clear" w:color="auto" w:fill="auto"/>
                  <w:vAlign w:val="center"/>
                </w:tcPr>
                <w:p>
                  <w:pPr>
                    <w:snapToGrid w:val="0"/>
                    <w:jc w:val="center"/>
                    <w:rPr>
                      <w:color w:val="auto"/>
                    </w:rPr>
                  </w:pPr>
                </w:p>
              </w:tc>
              <w:tc>
                <w:tcPr>
                  <w:tcW w:w="1206" w:type="dxa"/>
                  <w:shd w:val="clear" w:color="auto" w:fill="auto"/>
                  <w:vAlign w:val="center"/>
                </w:tcPr>
                <w:p>
                  <w:pPr>
                    <w:jc w:val="center"/>
                    <w:rPr>
                      <w:color w:val="auto"/>
                    </w:rPr>
                  </w:pPr>
                  <w:r>
                    <w:rPr>
                      <w:rFonts w:hint="eastAsia"/>
                      <w:color w:val="auto"/>
                    </w:rPr>
                    <w:t>SO</w:t>
                  </w:r>
                  <w:r>
                    <w:rPr>
                      <w:rFonts w:hint="eastAsia"/>
                      <w:color w:val="auto"/>
                      <w:vertAlign w:val="subscript"/>
                    </w:rPr>
                    <w:t>2</w:t>
                  </w:r>
                </w:p>
              </w:tc>
              <w:tc>
                <w:tcPr>
                  <w:tcW w:w="1170" w:type="dxa"/>
                  <w:vMerge w:val="continue"/>
                  <w:shd w:val="clear" w:color="auto" w:fill="auto"/>
                  <w:vAlign w:val="center"/>
                </w:tcPr>
                <w:p>
                  <w:pPr>
                    <w:snapToGrid w:val="0"/>
                    <w:jc w:val="center"/>
                    <w:rPr>
                      <w:color w:val="auto"/>
                    </w:rPr>
                  </w:pPr>
                </w:p>
              </w:tc>
              <w:tc>
                <w:tcPr>
                  <w:tcW w:w="1029" w:type="dxa"/>
                  <w:shd w:val="clear" w:color="auto" w:fill="auto"/>
                  <w:vAlign w:val="center"/>
                </w:tcPr>
                <w:p>
                  <w:pPr>
                    <w:jc w:val="center"/>
                    <w:rPr>
                      <w:color w:val="auto"/>
                    </w:rPr>
                  </w:pPr>
                  <w:r>
                    <w:rPr>
                      <w:rFonts w:hint="eastAsia"/>
                      <w:color w:val="auto"/>
                    </w:rPr>
                    <w:t>4.27</w:t>
                  </w:r>
                </w:p>
              </w:tc>
              <w:tc>
                <w:tcPr>
                  <w:tcW w:w="1029" w:type="dxa"/>
                  <w:vMerge w:val="continue"/>
                  <w:shd w:val="clear" w:color="auto" w:fill="auto"/>
                  <w:vAlign w:val="center"/>
                </w:tcPr>
                <w:p>
                  <w:pPr>
                    <w:adjustRightInd w:val="0"/>
                    <w:snapToGrid w:val="0"/>
                    <w:jc w:val="center"/>
                    <w:rPr>
                      <w:color w:val="auto"/>
                    </w:rPr>
                  </w:pPr>
                </w:p>
              </w:tc>
              <w:tc>
                <w:tcPr>
                  <w:tcW w:w="1206" w:type="dxa"/>
                  <w:vMerge w:val="continue"/>
                  <w:shd w:val="clear" w:color="auto" w:fill="auto"/>
                  <w:vAlign w:val="center"/>
                </w:tcPr>
                <w:p>
                  <w:pPr>
                    <w:adjustRightInd w:val="0"/>
                    <w:snapToGrid w:val="0"/>
                    <w:jc w:val="center"/>
                    <w:rPr>
                      <w:color w:val="auto"/>
                    </w:rPr>
                  </w:pPr>
                </w:p>
              </w:tc>
              <w:tc>
                <w:tcPr>
                  <w:tcW w:w="1208" w:type="dxa"/>
                  <w:vMerge w:val="continue"/>
                  <w:shd w:val="clear" w:color="auto" w:fill="auto"/>
                  <w:vAlign w:val="center"/>
                </w:tcPr>
                <w:p>
                  <w:pPr>
                    <w:snapToGrid w:val="0"/>
                    <w:jc w:val="center"/>
                    <w:rPr>
                      <w:color w:val="auto"/>
                    </w:rPr>
                  </w:pPr>
                </w:p>
              </w:tc>
              <w:tc>
                <w:tcPr>
                  <w:tcW w:w="884" w:type="dxa"/>
                  <w:vMerge w:val="continue"/>
                  <w:shd w:val="clear" w:color="auto" w:fill="auto"/>
                  <w:vAlign w:val="center"/>
                </w:tcPr>
                <w:p>
                  <w:pPr>
                    <w:snapToGrid w:val="0"/>
                    <w:jc w:val="center"/>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c>
                <w:tcPr>
                  <w:tcW w:w="1309" w:type="dxa"/>
                  <w:vMerge w:val="continue"/>
                  <w:shd w:val="clear" w:color="auto" w:fill="auto"/>
                  <w:vAlign w:val="center"/>
                </w:tcPr>
                <w:p>
                  <w:pPr>
                    <w:snapToGrid w:val="0"/>
                    <w:jc w:val="center"/>
                    <w:rPr>
                      <w:color w:val="auto"/>
                    </w:rPr>
                  </w:pPr>
                </w:p>
              </w:tc>
              <w:tc>
                <w:tcPr>
                  <w:tcW w:w="1206" w:type="dxa"/>
                  <w:shd w:val="clear" w:color="auto" w:fill="auto"/>
                  <w:vAlign w:val="center"/>
                </w:tcPr>
                <w:p>
                  <w:pPr>
                    <w:jc w:val="center"/>
                    <w:rPr>
                      <w:color w:val="auto"/>
                    </w:rPr>
                  </w:pPr>
                  <w:r>
                    <w:rPr>
                      <w:rFonts w:hint="eastAsia"/>
                      <w:color w:val="auto"/>
                    </w:rPr>
                    <w:t>NO</w:t>
                  </w:r>
                  <w:r>
                    <w:rPr>
                      <w:rFonts w:hint="eastAsia"/>
                      <w:color w:val="auto"/>
                      <w:vertAlign w:val="subscript"/>
                    </w:rPr>
                    <w:t>X</w:t>
                  </w:r>
                </w:p>
              </w:tc>
              <w:tc>
                <w:tcPr>
                  <w:tcW w:w="1170" w:type="dxa"/>
                  <w:vMerge w:val="continue"/>
                  <w:shd w:val="clear" w:color="auto" w:fill="auto"/>
                  <w:vAlign w:val="center"/>
                </w:tcPr>
                <w:p>
                  <w:pPr>
                    <w:snapToGrid w:val="0"/>
                    <w:jc w:val="center"/>
                    <w:rPr>
                      <w:color w:val="auto"/>
                    </w:rPr>
                  </w:pPr>
                </w:p>
              </w:tc>
              <w:tc>
                <w:tcPr>
                  <w:tcW w:w="1029" w:type="dxa"/>
                  <w:shd w:val="clear" w:color="auto" w:fill="auto"/>
                  <w:vAlign w:val="center"/>
                </w:tcPr>
                <w:p>
                  <w:pPr>
                    <w:jc w:val="center"/>
                    <w:rPr>
                      <w:color w:val="auto"/>
                    </w:rPr>
                  </w:pPr>
                  <w:r>
                    <w:rPr>
                      <w:rFonts w:hint="eastAsia"/>
                      <w:color w:val="auto"/>
                    </w:rPr>
                    <w:t>17.40</w:t>
                  </w:r>
                </w:p>
              </w:tc>
              <w:tc>
                <w:tcPr>
                  <w:tcW w:w="1029" w:type="dxa"/>
                  <w:vMerge w:val="continue"/>
                  <w:shd w:val="clear" w:color="auto" w:fill="auto"/>
                  <w:vAlign w:val="center"/>
                </w:tcPr>
                <w:p>
                  <w:pPr>
                    <w:adjustRightInd w:val="0"/>
                    <w:snapToGrid w:val="0"/>
                    <w:jc w:val="center"/>
                    <w:rPr>
                      <w:color w:val="auto"/>
                    </w:rPr>
                  </w:pPr>
                </w:p>
              </w:tc>
              <w:tc>
                <w:tcPr>
                  <w:tcW w:w="1206" w:type="dxa"/>
                  <w:vMerge w:val="continue"/>
                  <w:shd w:val="clear" w:color="auto" w:fill="auto"/>
                  <w:vAlign w:val="center"/>
                </w:tcPr>
                <w:p>
                  <w:pPr>
                    <w:adjustRightInd w:val="0"/>
                    <w:snapToGrid w:val="0"/>
                    <w:jc w:val="center"/>
                    <w:rPr>
                      <w:color w:val="auto"/>
                    </w:rPr>
                  </w:pPr>
                </w:p>
              </w:tc>
              <w:tc>
                <w:tcPr>
                  <w:tcW w:w="1208" w:type="dxa"/>
                  <w:vMerge w:val="continue"/>
                  <w:shd w:val="clear" w:color="auto" w:fill="auto"/>
                  <w:vAlign w:val="center"/>
                </w:tcPr>
                <w:p>
                  <w:pPr>
                    <w:snapToGrid w:val="0"/>
                    <w:jc w:val="center"/>
                    <w:rPr>
                      <w:color w:val="auto"/>
                    </w:rPr>
                  </w:pPr>
                </w:p>
              </w:tc>
              <w:tc>
                <w:tcPr>
                  <w:tcW w:w="884" w:type="dxa"/>
                  <w:vMerge w:val="continue"/>
                  <w:shd w:val="clear" w:color="auto" w:fill="auto"/>
                  <w:vAlign w:val="center"/>
                </w:tcPr>
                <w:p>
                  <w:pPr>
                    <w:snapToGrid w:val="0"/>
                    <w:jc w:val="center"/>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c>
                <w:tcPr>
                  <w:tcW w:w="1309" w:type="dxa"/>
                  <w:vMerge w:val="continue"/>
                  <w:shd w:val="clear" w:color="auto" w:fill="auto"/>
                  <w:vAlign w:val="center"/>
                </w:tcPr>
                <w:p>
                  <w:pPr>
                    <w:snapToGrid w:val="0"/>
                    <w:jc w:val="center"/>
                    <w:rPr>
                      <w:color w:val="auto"/>
                    </w:rPr>
                  </w:pPr>
                </w:p>
              </w:tc>
              <w:tc>
                <w:tcPr>
                  <w:tcW w:w="1206" w:type="dxa"/>
                  <w:shd w:val="clear" w:color="auto" w:fill="auto"/>
                  <w:vAlign w:val="center"/>
                </w:tcPr>
                <w:p>
                  <w:pPr>
                    <w:jc w:val="center"/>
                    <w:rPr>
                      <w:color w:val="auto"/>
                    </w:rPr>
                  </w:pPr>
                  <w:r>
                    <w:rPr>
                      <w:rFonts w:hint="eastAsia"/>
                      <w:color w:val="auto"/>
                    </w:rPr>
                    <w:t>NH</w:t>
                  </w:r>
                  <w:r>
                    <w:rPr>
                      <w:rFonts w:hint="eastAsia"/>
                      <w:color w:val="auto"/>
                      <w:vertAlign w:val="subscript"/>
                    </w:rPr>
                    <w:t>3</w:t>
                  </w:r>
                </w:p>
              </w:tc>
              <w:tc>
                <w:tcPr>
                  <w:tcW w:w="1170" w:type="dxa"/>
                  <w:vMerge w:val="continue"/>
                  <w:shd w:val="clear" w:color="auto" w:fill="auto"/>
                  <w:vAlign w:val="center"/>
                </w:tcPr>
                <w:p>
                  <w:pPr>
                    <w:snapToGrid w:val="0"/>
                    <w:jc w:val="center"/>
                    <w:rPr>
                      <w:color w:val="auto"/>
                    </w:rPr>
                  </w:pPr>
                </w:p>
              </w:tc>
              <w:tc>
                <w:tcPr>
                  <w:tcW w:w="1029" w:type="dxa"/>
                  <w:shd w:val="clear" w:color="auto" w:fill="auto"/>
                  <w:vAlign w:val="center"/>
                </w:tcPr>
                <w:p>
                  <w:pPr>
                    <w:jc w:val="center"/>
                    <w:rPr>
                      <w:color w:val="auto"/>
                    </w:rPr>
                  </w:pPr>
                  <w:r>
                    <w:rPr>
                      <w:rFonts w:hint="eastAsia"/>
                      <w:color w:val="auto"/>
                    </w:rPr>
                    <w:t>0.24</w:t>
                  </w:r>
                </w:p>
              </w:tc>
              <w:tc>
                <w:tcPr>
                  <w:tcW w:w="1029" w:type="dxa"/>
                  <w:vMerge w:val="continue"/>
                  <w:shd w:val="clear" w:color="auto" w:fill="auto"/>
                  <w:vAlign w:val="center"/>
                </w:tcPr>
                <w:p>
                  <w:pPr>
                    <w:adjustRightInd w:val="0"/>
                    <w:snapToGrid w:val="0"/>
                    <w:jc w:val="center"/>
                    <w:rPr>
                      <w:color w:val="auto"/>
                    </w:rPr>
                  </w:pPr>
                </w:p>
              </w:tc>
              <w:tc>
                <w:tcPr>
                  <w:tcW w:w="1206" w:type="dxa"/>
                  <w:vMerge w:val="continue"/>
                  <w:shd w:val="clear" w:color="auto" w:fill="auto"/>
                  <w:vAlign w:val="center"/>
                </w:tcPr>
                <w:p>
                  <w:pPr>
                    <w:adjustRightInd w:val="0"/>
                    <w:snapToGrid w:val="0"/>
                    <w:jc w:val="center"/>
                    <w:rPr>
                      <w:color w:val="auto"/>
                    </w:rPr>
                  </w:pPr>
                </w:p>
              </w:tc>
              <w:tc>
                <w:tcPr>
                  <w:tcW w:w="1208" w:type="dxa"/>
                  <w:vMerge w:val="continue"/>
                  <w:shd w:val="clear" w:color="auto" w:fill="auto"/>
                  <w:vAlign w:val="center"/>
                </w:tcPr>
                <w:p>
                  <w:pPr>
                    <w:snapToGrid w:val="0"/>
                    <w:jc w:val="center"/>
                    <w:rPr>
                      <w:color w:val="auto"/>
                    </w:rPr>
                  </w:pPr>
                </w:p>
              </w:tc>
              <w:tc>
                <w:tcPr>
                  <w:tcW w:w="884" w:type="dxa"/>
                  <w:vMerge w:val="continue"/>
                  <w:shd w:val="clear" w:color="auto" w:fill="auto"/>
                  <w:vAlign w:val="center"/>
                </w:tcPr>
                <w:p>
                  <w:pPr>
                    <w:snapToGrid w:val="0"/>
                    <w:jc w:val="center"/>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c>
                <w:tcPr>
                  <w:tcW w:w="1309" w:type="dxa"/>
                  <w:vMerge w:val="restart"/>
                  <w:shd w:val="clear" w:color="auto" w:fill="auto"/>
                  <w:vAlign w:val="center"/>
                </w:tcPr>
                <w:p>
                  <w:pPr>
                    <w:snapToGrid w:val="0"/>
                    <w:jc w:val="center"/>
                    <w:rPr>
                      <w:color w:val="auto"/>
                    </w:rPr>
                  </w:pPr>
                  <w:r>
                    <w:rPr>
                      <w:rFonts w:hint="eastAsia"/>
                      <w:color w:val="auto"/>
                    </w:rPr>
                    <w:t>3#烟囱</w:t>
                  </w:r>
                </w:p>
              </w:tc>
              <w:tc>
                <w:tcPr>
                  <w:tcW w:w="1206" w:type="dxa"/>
                  <w:shd w:val="clear" w:color="auto" w:fill="auto"/>
                  <w:vAlign w:val="center"/>
                </w:tcPr>
                <w:p>
                  <w:pPr>
                    <w:jc w:val="center"/>
                    <w:rPr>
                      <w:color w:val="auto"/>
                    </w:rPr>
                  </w:pPr>
                  <w:r>
                    <w:rPr>
                      <w:rFonts w:hint="eastAsia"/>
                      <w:color w:val="auto"/>
                    </w:rPr>
                    <w:t>颗粒物</w:t>
                  </w:r>
                </w:p>
              </w:tc>
              <w:tc>
                <w:tcPr>
                  <w:tcW w:w="1170" w:type="dxa"/>
                  <w:vMerge w:val="restart"/>
                  <w:shd w:val="clear" w:color="auto" w:fill="auto"/>
                  <w:vAlign w:val="center"/>
                </w:tcPr>
                <w:p>
                  <w:pPr>
                    <w:snapToGrid w:val="0"/>
                    <w:jc w:val="center"/>
                    <w:rPr>
                      <w:color w:val="auto"/>
                    </w:rPr>
                  </w:pPr>
                  <w:r>
                    <w:rPr>
                      <w:rFonts w:hint="eastAsia"/>
                      <w:color w:val="auto"/>
                    </w:rPr>
                    <w:t>637390</w:t>
                  </w:r>
                </w:p>
              </w:tc>
              <w:tc>
                <w:tcPr>
                  <w:tcW w:w="1029" w:type="dxa"/>
                  <w:shd w:val="clear" w:color="auto" w:fill="auto"/>
                  <w:vAlign w:val="center"/>
                </w:tcPr>
                <w:p>
                  <w:pPr>
                    <w:jc w:val="center"/>
                    <w:rPr>
                      <w:color w:val="auto"/>
                    </w:rPr>
                  </w:pPr>
                  <w:r>
                    <w:rPr>
                      <w:rFonts w:hint="eastAsia"/>
                      <w:color w:val="auto"/>
                    </w:rPr>
                    <w:t>2.96</w:t>
                  </w:r>
                </w:p>
              </w:tc>
              <w:tc>
                <w:tcPr>
                  <w:tcW w:w="1029" w:type="dxa"/>
                  <w:vMerge w:val="restart"/>
                  <w:shd w:val="clear" w:color="auto" w:fill="auto"/>
                  <w:vAlign w:val="center"/>
                </w:tcPr>
                <w:p>
                  <w:pPr>
                    <w:adjustRightInd w:val="0"/>
                    <w:snapToGrid w:val="0"/>
                    <w:jc w:val="center"/>
                    <w:rPr>
                      <w:color w:val="auto"/>
                    </w:rPr>
                  </w:pPr>
                  <w:r>
                    <w:rPr>
                      <w:rFonts w:hint="eastAsia"/>
                      <w:color w:val="auto"/>
                    </w:rPr>
                    <w:t>80</w:t>
                  </w:r>
                </w:p>
              </w:tc>
              <w:tc>
                <w:tcPr>
                  <w:tcW w:w="1206" w:type="dxa"/>
                  <w:vMerge w:val="restart"/>
                  <w:shd w:val="clear" w:color="auto" w:fill="auto"/>
                  <w:vAlign w:val="center"/>
                </w:tcPr>
                <w:p>
                  <w:pPr>
                    <w:adjustRightInd w:val="0"/>
                    <w:snapToGrid w:val="0"/>
                    <w:jc w:val="center"/>
                    <w:rPr>
                      <w:color w:val="auto"/>
                    </w:rPr>
                  </w:pPr>
                  <w:r>
                    <w:rPr>
                      <w:rFonts w:hint="eastAsia"/>
                      <w:color w:val="auto"/>
                    </w:rPr>
                    <w:t>3.5</w:t>
                  </w:r>
                </w:p>
              </w:tc>
              <w:tc>
                <w:tcPr>
                  <w:tcW w:w="1208" w:type="dxa"/>
                  <w:vMerge w:val="restart"/>
                  <w:shd w:val="clear" w:color="auto" w:fill="auto"/>
                  <w:vAlign w:val="center"/>
                </w:tcPr>
                <w:p>
                  <w:pPr>
                    <w:snapToGrid w:val="0"/>
                    <w:jc w:val="center"/>
                    <w:rPr>
                      <w:color w:val="auto"/>
                    </w:rPr>
                  </w:pPr>
                  <w:r>
                    <w:rPr>
                      <w:rFonts w:hint="eastAsia"/>
                      <w:color w:val="auto"/>
                    </w:rPr>
                    <w:t>150</w:t>
                  </w:r>
                </w:p>
              </w:tc>
              <w:tc>
                <w:tcPr>
                  <w:tcW w:w="884" w:type="dxa"/>
                  <w:vMerge w:val="restart"/>
                  <w:shd w:val="clear" w:color="auto" w:fill="auto"/>
                  <w:vAlign w:val="center"/>
                </w:tcPr>
                <w:p>
                  <w:pPr>
                    <w:snapToGrid w:val="0"/>
                    <w:jc w:val="center"/>
                    <w:rPr>
                      <w:color w:val="auto"/>
                    </w:rPr>
                  </w:pPr>
                  <w:r>
                    <w:rPr>
                      <w:color w:val="auto"/>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c>
                <w:tcPr>
                  <w:tcW w:w="1309" w:type="dxa"/>
                  <w:vMerge w:val="continue"/>
                  <w:shd w:val="clear" w:color="auto" w:fill="auto"/>
                  <w:vAlign w:val="center"/>
                </w:tcPr>
                <w:p>
                  <w:pPr>
                    <w:snapToGrid w:val="0"/>
                    <w:jc w:val="center"/>
                    <w:rPr>
                      <w:color w:val="auto"/>
                    </w:rPr>
                  </w:pPr>
                </w:p>
              </w:tc>
              <w:tc>
                <w:tcPr>
                  <w:tcW w:w="1206" w:type="dxa"/>
                  <w:shd w:val="clear" w:color="auto" w:fill="auto"/>
                  <w:vAlign w:val="center"/>
                </w:tcPr>
                <w:p>
                  <w:pPr>
                    <w:jc w:val="center"/>
                    <w:rPr>
                      <w:color w:val="auto"/>
                    </w:rPr>
                  </w:pPr>
                  <w:r>
                    <w:rPr>
                      <w:rFonts w:hint="eastAsia"/>
                      <w:color w:val="auto"/>
                    </w:rPr>
                    <w:t>SO</w:t>
                  </w:r>
                  <w:r>
                    <w:rPr>
                      <w:rFonts w:hint="eastAsia"/>
                      <w:color w:val="auto"/>
                      <w:vertAlign w:val="subscript"/>
                    </w:rPr>
                    <w:t>2</w:t>
                  </w:r>
                </w:p>
              </w:tc>
              <w:tc>
                <w:tcPr>
                  <w:tcW w:w="1170" w:type="dxa"/>
                  <w:vMerge w:val="continue"/>
                  <w:shd w:val="clear" w:color="auto" w:fill="auto"/>
                  <w:vAlign w:val="center"/>
                </w:tcPr>
                <w:p>
                  <w:pPr>
                    <w:snapToGrid w:val="0"/>
                    <w:jc w:val="center"/>
                    <w:rPr>
                      <w:color w:val="auto"/>
                    </w:rPr>
                  </w:pPr>
                </w:p>
              </w:tc>
              <w:tc>
                <w:tcPr>
                  <w:tcW w:w="1029" w:type="dxa"/>
                  <w:shd w:val="clear" w:color="auto" w:fill="auto"/>
                  <w:vAlign w:val="center"/>
                </w:tcPr>
                <w:p>
                  <w:pPr>
                    <w:jc w:val="center"/>
                    <w:rPr>
                      <w:color w:val="auto"/>
                    </w:rPr>
                  </w:pPr>
                  <w:r>
                    <w:rPr>
                      <w:rFonts w:hint="eastAsia"/>
                      <w:color w:val="auto"/>
                    </w:rPr>
                    <w:t>12.05</w:t>
                  </w:r>
                </w:p>
              </w:tc>
              <w:tc>
                <w:tcPr>
                  <w:tcW w:w="1029" w:type="dxa"/>
                  <w:vMerge w:val="continue"/>
                  <w:shd w:val="clear" w:color="auto" w:fill="auto"/>
                  <w:vAlign w:val="center"/>
                </w:tcPr>
                <w:p>
                  <w:pPr>
                    <w:adjustRightInd w:val="0"/>
                    <w:snapToGrid w:val="0"/>
                    <w:jc w:val="center"/>
                    <w:rPr>
                      <w:color w:val="auto"/>
                    </w:rPr>
                  </w:pPr>
                </w:p>
              </w:tc>
              <w:tc>
                <w:tcPr>
                  <w:tcW w:w="1206" w:type="dxa"/>
                  <w:vMerge w:val="continue"/>
                  <w:shd w:val="clear" w:color="auto" w:fill="auto"/>
                  <w:vAlign w:val="center"/>
                </w:tcPr>
                <w:p>
                  <w:pPr>
                    <w:adjustRightInd w:val="0"/>
                    <w:snapToGrid w:val="0"/>
                    <w:jc w:val="center"/>
                    <w:rPr>
                      <w:color w:val="auto"/>
                    </w:rPr>
                  </w:pPr>
                </w:p>
              </w:tc>
              <w:tc>
                <w:tcPr>
                  <w:tcW w:w="1208" w:type="dxa"/>
                  <w:vMerge w:val="continue"/>
                  <w:shd w:val="clear" w:color="auto" w:fill="auto"/>
                  <w:vAlign w:val="center"/>
                </w:tcPr>
                <w:p>
                  <w:pPr>
                    <w:snapToGrid w:val="0"/>
                    <w:jc w:val="center"/>
                    <w:rPr>
                      <w:color w:val="auto"/>
                    </w:rPr>
                  </w:pPr>
                </w:p>
              </w:tc>
              <w:tc>
                <w:tcPr>
                  <w:tcW w:w="884" w:type="dxa"/>
                  <w:vMerge w:val="continue"/>
                  <w:shd w:val="clear" w:color="auto" w:fill="auto"/>
                  <w:vAlign w:val="center"/>
                </w:tcPr>
                <w:p>
                  <w:pPr>
                    <w:snapToGrid w:val="0"/>
                    <w:jc w:val="center"/>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c>
                <w:tcPr>
                  <w:tcW w:w="1309" w:type="dxa"/>
                  <w:vMerge w:val="continue"/>
                  <w:shd w:val="clear" w:color="auto" w:fill="auto"/>
                  <w:vAlign w:val="center"/>
                </w:tcPr>
                <w:p>
                  <w:pPr>
                    <w:snapToGrid w:val="0"/>
                    <w:jc w:val="center"/>
                    <w:rPr>
                      <w:color w:val="auto"/>
                    </w:rPr>
                  </w:pPr>
                </w:p>
              </w:tc>
              <w:tc>
                <w:tcPr>
                  <w:tcW w:w="1206" w:type="dxa"/>
                  <w:shd w:val="clear" w:color="auto" w:fill="auto"/>
                  <w:vAlign w:val="center"/>
                </w:tcPr>
                <w:p>
                  <w:pPr>
                    <w:jc w:val="center"/>
                    <w:rPr>
                      <w:color w:val="auto"/>
                    </w:rPr>
                  </w:pPr>
                  <w:r>
                    <w:rPr>
                      <w:rFonts w:hint="eastAsia"/>
                      <w:color w:val="auto"/>
                    </w:rPr>
                    <w:t>NO</w:t>
                  </w:r>
                  <w:r>
                    <w:rPr>
                      <w:rFonts w:hint="eastAsia"/>
                      <w:color w:val="auto"/>
                      <w:vertAlign w:val="subscript"/>
                    </w:rPr>
                    <w:t>X</w:t>
                  </w:r>
                </w:p>
              </w:tc>
              <w:tc>
                <w:tcPr>
                  <w:tcW w:w="1170" w:type="dxa"/>
                  <w:vMerge w:val="continue"/>
                  <w:shd w:val="clear" w:color="auto" w:fill="auto"/>
                  <w:vAlign w:val="center"/>
                </w:tcPr>
                <w:p>
                  <w:pPr>
                    <w:snapToGrid w:val="0"/>
                    <w:jc w:val="center"/>
                    <w:rPr>
                      <w:color w:val="auto"/>
                    </w:rPr>
                  </w:pPr>
                </w:p>
              </w:tc>
              <w:tc>
                <w:tcPr>
                  <w:tcW w:w="1029" w:type="dxa"/>
                  <w:shd w:val="clear" w:color="auto" w:fill="auto"/>
                  <w:vAlign w:val="center"/>
                </w:tcPr>
                <w:p>
                  <w:pPr>
                    <w:jc w:val="center"/>
                    <w:rPr>
                      <w:color w:val="auto"/>
                    </w:rPr>
                  </w:pPr>
                  <w:r>
                    <w:rPr>
                      <w:rFonts w:hint="eastAsia"/>
                      <w:color w:val="auto"/>
                    </w:rPr>
                    <w:t>5</w:t>
                  </w:r>
                  <w:r>
                    <w:rPr>
                      <w:color w:val="auto"/>
                    </w:rPr>
                    <w:t>0</w:t>
                  </w:r>
                  <w:r>
                    <w:rPr>
                      <w:rFonts w:hint="eastAsia"/>
                      <w:color w:val="auto"/>
                    </w:rPr>
                    <w:t>.</w:t>
                  </w:r>
                  <w:r>
                    <w:rPr>
                      <w:color w:val="auto"/>
                    </w:rPr>
                    <w:t>86</w:t>
                  </w:r>
                </w:p>
              </w:tc>
              <w:tc>
                <w:tcPr>
                  <w:tcW w:w="1029" w:type="dxa"/>
                  <w:vMerge w:val="continue"/>
                  <w:shd w:val="clear" w:color="auto" w:fill="auto"/>
                  <w:vAlign w:val="center"/>
                </w:tcPr>
                <w:p>
                  <w:pPr>
                    <w:adjustRightInd w:val="0"/>
                    <w:snapToGrid w:val="0"/>
                    <w:jc w:val="center"/>
                    <w:rPr>
                      <w:color w:val="auto"/>
                    </w:rPr>
                  </w:pPr>
                </w:p>
              </w:tc>
              <w:tc>
                <w:tcPr>
                  <w:tcW w:w="1206" w:type="dxa"/>
                  <w:vMerge w:val="continue"/>
                  <w:shd w:val="clear" w:color="auto" w:fill="auto"/>
                  <w:vAlign w:val="center"/>
                </w:tcPr>
                <w:p>
                  <w:pPr>
                    <w:adjustRightInd w:val="0"/>
                    <w:snapToGrid w:val="0"/>
                    <w:jc w:val="center"/>
                    <w:rPr>
                      <w:color w:val="auto"/>
                    </w:rPr>
                  </w:pPr>
                </w:p>
              </w:tc>
              <w:tc>
                <w:tcPr>
                  <w:tcW w:w="1208" w:type="dxa"/>
                  <w:vMerge w:val="continue"/>
                  <w:shd w:val="clear" w:color="auto" w:fill="auto"/>
                  <w:vAlign w:val="center"/>
                </w:tcPr>
                <w:p>
                  <w:pPr>
                    <w:snapToGrid w:val="0"/>
                    <w:jc w:val="center"/>
                    <w:rPr>
                      <w:color w:val="auto"/>
                    </w:rPr>
                  </w:pPr>
                </w:p>
              </w:tc>
              <w:tc>
                <w:tcPr>
                  <w:tcW w:w="884" w:type="dxa"/>
                  <w:vMerge w:val="continue"/>
                  <w:shd w:val="clear" w:color="auto" w:fill="auto"/>
                  <w:vAlign w:val="center"/>
                </w:tcPr>
                <w:p>
                  <w:pPr>
                    <w:snapToGrid w:val="0"/>
                    <w:jc w:val="center"/>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c>
                <w:tcPr>
                  <w:tcW w:w="1309" w:type="dxa"/>
                  <w:vMerge w:val="continue"/>
                  <w:shd w:val="clear" w:color="auto" w:fill="auto"/>
                  <w:vAlign w:val="center"/>
                </w:tcPr>
                <w:p>
                  <w:pPr>
                    <w:snapToGrid w:val="0"/>
                    <w:jc w:val="center"/>
                    <w:rPr>
                      <w:color w:val="auto"/>
                    </w:rPr>
                  </w:pPr>
                </w:p>
              </w:tc>
              <w:tc>
                <w:tcPr>
                  <w:tcW w:w="1206" w:type="dxa"/>
                  <w:shd w:val="clear" w:color="auto" w:fill="auto"/>
                  <w:vAlign w:val="center"/>
                </w:tcPr>
                <w:p>
                  <w:pPr>
                    <w:jc w:val="center"/>
                    <w:rPr>
                      <w:color w:val="auto"/>
                    </w:rPr>
                  </w:pPr>
                  <w:r>
                    <w:rPr>
                      <w:rFonts w:hint="eastAsia"/>
                      <w:color w:val="auto"/>
                    </w:rPr>
                    <w:t>NH</w:t>
                  </w:r>
                  <w:r>
                    <w:rPr>
                      <w:rFonts w:hint="eastAsia"/>
                      <w:color w:val="auto"/>
                      <w:vertAlign w:val="subscript"/>
                    </w:rPr>
                    <w:t>3</w:t>
                  </w:r>
                </w:p>
              </w:tc>
              <w:tc>
                <w:tcPr>
                  <w:tcW w:w="1170" w:type="dxa"/>
                  <w:vMerge w:val="continue"/>
                  <w:shd w:val="clear" w:color="auto" w:fill="auto"/>
                  <w:vAlign w:val="center"/>
                </w:tcPr>
                <w:p>
                  <w:pPr>
                    <w:snapToGrid w:val="0"/>
                    <w:jc w:val="center"/>
                    <w:rPr>
                      <w:color w:val="auto"/>
                    </w:rPr>
                  </w:pPr>
                </w:p>
              </w:tc>
              <w:tc>
                <w:tcPr>
                  <w:tcW w:w="1029" w:type="dxa"/>
                  <w:shd w:val="clear" w:color="auto" w:fill="auto"/>
                  <w:vAlign w:val="center"/>
                </w:tcPr>
                <w:p>
                  <w:pPr>
                    <w:jc w:val="center"/>
                    <w:rPr>
                      <w:color w:val="auto"/>
                    </w:rPr>
                  </w:pPr>
                  <w:r>
                    <w:rPr>
                      <w:rFonts w:hint="eastAsia"/>
                      <w:color w:val="auto"/>
                    </w:rPr>
                    <w:t>0.65</w:t>
                  </w:r>
                </w:p>
              </w:tc>
              <w:tc>
                <w:tcPr>
                  <w:tcW w:w="1029" w:type="dxa"/>
                  <w:vMerge w:val="continue"/>
                  <w:shd w:val="clear" w:color="auto" w:fill="auto"/>
                  <w:vAlign w:val="center"/>
                </w:tcPr>
                <w:p>
                  <w:pPr>
                    <w:adjustRightInd w:val="0"/>
                    <w:snapToGrid w:val="0"/>
                    <w:jc w:val="center"/>
                    <w:rPr>
                      <w:color w:val="auto"/>
                    </w:rPr>
                  </w:pPr>
                </w:p>
              </w:tc>
              <w:tc>
                <w:tcPr>
                  <w:tcW w:w="1206" w:type="dxa"/>
                  <w:vMerge w:val="continue"/>
                  <w:shd w:val="clear" w:color="auto" w:fill="auto"/>
                  <w:vAlign w:val="center"/>
                </w:tcPr>
                <w:p>
                  <w:pPr>
                    <w:adjustRightInd w:val="0"/>
                    <w:snapToGrid w:val="0"/>
                    <w:jc w:val="center"/>
                    <w:rPr>
                      <w:color w:val="auto"/>
                    </w:rPr>
                  </w:pPr>
                </w:p>
              </w:tc>
              <w:tc>
                <w:tcPr>
                  <w:tcW w:w="1208" w:type="dxa"/>
                  <w:vMerge w:val="continue"/>
                  <w:shd w:val="clear" w:color="auto" w:fill="auto"/>
                  <w:vAlign w:val="center"/>
                </w:tcPr>
                <w:p>
                  <w:pPr>
                    <w:snapToGrid w:val="0"/>
                    <w:jc w:val="center"/>
                    <w:rPr>
                      <w:color w:val="auto"/>
                    </w:rPr>
                  </w:pPr>
                </w:p>
              </w:tc>
              <w:tc>
                <w:tcPr>
                  <w:tcW w:w="884" w:type="dxa"/>
                  <w:vMerge w:val="continue"/>
                  <w:shd w:val="clear" w:color="auto" w:fill="auto"/>
                  <w:vAlign w:val="center"/>
                </w:tcPr>
                <w:p>
                  <w:pPr>
                    <w:snapToGrid w:val="0"/>
                    <w:jc w:val="center"/>
                    <w:rPr>
                      <w:color w:val="auto"/>
                    </w:rPr>
                  </w:pPr>
                </w:p>
              </w:tc>
            </w:tr>
          </w:tbl>
          <w:p>
            <w:pPr>
              <w:spacing w:line="360" w:lineRule="auto"/>
              <w:jc w:val="center"/>
              <w:rPr>
                <w:rFonts w:eastAsia="黑体"/>
                <w:color w:val="auto"/>
                <w:sz w:val="24"/>
                <w:szCs w:val="24"/>
              </w:rPr>
            </w:pPr>
            <w:r>
              <w:rPr>
                <w:rFonts w:eastAsia="黑体"/>
                <w:color w:val="auto"/>
                <w:sz w:val="24"/>
                <w:szCs w:val="24"/>
              </w:rPr>
              <w:t xml:space="preserve">表22 </w:t>
            </w:r>
            <w:r>
              <w:rPr>
                <w:rFonts w:hint="eastAsia" w:eastAsia="黑体"/>
                <w:color w:val="auto"/>
                <w:sz w:val="24"/>
                <w:szCs w:val="24"/>
              </w:rPr>
              <w:t xml:space="preserve">  项目无组织废气</w:t>
            </w:r>
            <w:r>
              <w:rPr>
                <w:rFonts w:eastAsia="黑体"/>
                <w:color w:val="auto"/>
                <w:sz w:val="24"/>
                <w:szCs w:val="24"/>
              </w:rPr>
              <w:t>排放源强一览表</w:t>
            </w:r>
          </w:p>
          <w:tbl>
            <w:tblPr>
              <w:tblStyle w:val="2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705"/>
              <w:gridCol w:w="946"/>
              <w:gridCol w:w="946"/>
              <w:gridCol w:w="1553"/>
              <w:gridCol w:w="1145"/>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1559" w:type="dxa"/>
                  <w:vMerge w:val="restart"/>
                  <w:tcBorders>
                    <w:top w:val="single" w:color="auto" w:sz="4" w:space="0"/>
                    <w:left w:val="single" w:color="auto" w:sz="4" w:space="0"/>
                    <w:right w:val="single" w:color="auto" w:sz="4" w:space="0"/>
                  </w:tcBorders>
                  <w:vAlign w:val="center"/>
                </w:tcPr>
                <w:p>
                  <w:pPr>
                    <w:jc w:val="center"/>
                    <w:rPr>
                      <w:color w:val="auto"/>
                    </w:rPr>
                  </w:pPr>
                  <w:r>
                    <w:rPr>
                      <w:color w:val="auto"/>
                    </w:rPr>
                    <w:t>面源编号</w:t>
                  </w:r>
                </w:p>
              </w:tc>
              <w:tc>
                <w:tcPr>
                  <w:tcW w:w="1705" w:type="dxa"/>
                  <w:vMerge w:val="restart"/>
                  <w:tcBorders>
                    <w:top w:val="single" w:color="auto" w:sz="4" w:space="0"/>
                    <w:left w:val="single" w:color="auto" w:sz="4" w:space="0"/>
                    <w:right w:val="single" w:color="auto" w:sz="4" w:space="0"/>
                  </w:tcBorders>
                  <w:vAlign w:val="center"/>
                </w:tcPr>
                <w:p>
                  <w:pPr>
                    <w:jc w:val="center"/>
                    <w:rPr>
                      <w:color w:val="auto"/>
                    </w:rPr>
                  </w:pPr>
                  <w:r>
                    <w:rPr>
                      <w:color w:val="auto"/>
                    </w:rPr>
                    <w:t>面源名称</w:t>
                  </w:r>
                </w:p>
              </w:tc>
              <w:tc>
                <w:tcPr>
                  <w:tcW w:w="946" w:type="dxa"/>
                  <w:vMerge w:val="restart"/>
                  <w:tcBorders>
                    <w:top w:val="single" w:color="auto" w:sz="4" w:space="0"/>
                    <w:left w:val="single" w:color="auto" w:sz="4" w:space="0"/>
                    <w:right w:val="single" w:color="auto" w:sz="4" w:space="0"/>
                  </w:tcBorders>
                  <w:vAlign w:val="center"/>
                </w:tcPr>
                <w:p>
                  <w:pPr>
                    <w:jc w:val="center"/>
                    <w:rPr>
                      <w:color w:val="auto"/>
                    </w:rPr>
                  </w:pPr>
                  <w:r>
                    <w:rPr>
                      <w:rFonts w:hint="eastAsia"/>
                      <w:color w:val="auto"/>
                    </w:rPr>
                    <w:t>长度（m）</w:t>
                  </w:r>
                </w:p>
              </w:tc>
              <w:tc>
                <w:tcPr>
                  <w:tcW w:w="946" w:type="dxa"/>
                  <w:vMerge w:val="restart"/>
                  <w:tcBorders>
                    <w:top w:val="single" w:color="auto" w:sz="4" w:space="0"/>
                    <w:left w:val="single" w:color="auto" w:sz="4" w:space="0"/>
                    <w:right w:val="single" w:color="auto" w:sz="4" w:space="0"/>
                  </w:tcBorders>
                  <w:vAlign w:val="center"/>
                </w:tcPr>
                <w:p>
                  <w:pPr>
                    <w:jc w:val="center"/>
                    <w:rPr>
                      <w:color w:val="auto"/>
                    </w:rPr>
                  </w:pPr>
                  <w:r>
                    <w:rPr>
                      <w:rFonts w:hint="eastAsia"/>
                      <w:color w:val="auto"/>
                    </w:rPr>
                    <w:t>宽度（m）</w:t>
                  </w:r>
                </w:p>
              </w:tc>
              <w:tc>
                <w:tcPr>
                  <w:tcW w:w="1553" w:type="dxa"/>
                  <w:vMerge w:val="restart"/>
                  <w:tcBorders>
                    <w:top w:val="single" w:color="auto" w:sz="4" w:space="0"/>
                    <w:left w:val="single" w:color="auto" w:sz="4" w:space="0"/>
                    <w:right w:val="single" w:color="auto" w:sz="4" w:space="0"/>
                  </w:tcBorders>
                  <w:vAlign w:val="center"/>
                </w:tcPr>
                <w:p>
                  <w:pPr>
                    <w:jc w:val="center"/>
                    <w:rPr>
                      <w:color w:val="auto"/>
                    </w:rPr>
                  </w:pPr>
                  <w:r>
                    <w:rPr>
                      <w:color w:val="auto"/>
                    </w:rPr>
                    <w:t>面源初始排放高度</w:t>
                  </w:r>
                  <w:r>
                    <w:rPr>
                      <w:rFonts w:hint="eastAsia"/>
                      <w:color w:val="auto"/>
                    </w:rPr>
                    <w:t>（m）</w:t>
                  </w:r>
                </w:p>
              </w:tc>
              <w:tc>
                <w:tcPr>
                  <w:tcW w:w="1145" w:type="dxa"/>
                  <w:vMerge w:val="restart"/>
                  <w:tcBorders>
                    <w:top w:val="single" w:color="auto" w:sz="4" w:space="0"/>
                    <w:left w:val="single" w:color="auto" w:sz="4" w:space="0"/>
                    <w:right w:val="single" w:color="auto" w:sz="4" w:space="0"/>
                  </w:tcBorders>
                  <w:vAlign w:val="center"/>
                </w:tcPr>
                <w:p>
                  <w:pPr>
                    <w:jc w:val="center"/>
                    <w:rPr>
                      <w:color w:val="auto"/>
                    </w:rPr>
                  </w:pPr>
                  <w:r>
                    <w:rPr>
                      <w:color w:val="auto"/>
                    </w:rPr>
                    <w:t>年排放小时</w:t>
                  </w:r>
                  <w:r>
                    <w:rPr>
                      <w:rFonts w:hint="eastAsia"/>
                      <w:color w:val="auto"/>
                    </w:rPr>
                    <w:t>（h）</w:t>
                  </w:r>
                </w:p>
              </w:tc>
              <w:tc>
                <w:tcPr>
                  <w:tcW w:w="1207" w:type="dxa"/>
                  <w:tcBorders>
                    <w:top w:val="single" w:color="auto" w:sz="4" w:space="0"/>
                    <w:left w:val="single" w:color="auto" w:sz="4" w:space="0"/>
                    <w:right w:val="single" w:color="auto" w:sz="4" w:space="0"/>
                  </w:tcBorders>
                  <w:vAlign w:val="center"/>
                </w:tcPr>
                <w:p>
                  <w:pPr>
                    <w:rPr>
                      <w:color w:val="auto"/>
                    </w:rPr>
                  </w:pPr>
                  <w:r>
                    <w:rPr>
                      <w:rFonts w:hint="eastAsia"/>
                      <w:color w:val="auto"/>
                    </w:rPr>
                    <w:t>污染源强</w:t>
                  </w:r>
                  <w:r>
                    <w:rPr>
                      <w:color w:val="auto"/>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1559" w:type="dxa"/>
                  <w:vMerge w:val="continue"/>
                  <w:tcBorders>
                    <w:left w:val="single" w:color="auto" w:sz="4" w:space="0"/>
                    <w:bottom w:val="single" w:color="auto" w:sz="4" w:space="0"/>
                    <w:right w:val="single" w:color="auto" w:sz="4" w:space="0"/>
                  </w:tcBorders>
                  <w:vAlign w:val="center"/>
                </w:tcPr>
                <w:p>
                  <w:pPr>
                    <w:jc w:val="center"/>
                    <w:rPr>
                      <w:color w:val="auto"/>
                    </w:rPr>
                  </w:pPr>
                </w:p>
              </w:tc>
              <w:tc>
                <w:tcPr>
                  <w:tcW w:w="1705" w:type="dxa"/>
                  <w:vMerge w:val="continue"/>
                  <w:tcBorders>
                    <w:left w:val="single" w:color="auto" w:sz="4" w:space="0"/>
                    <w:bottom w:val="single" w:color="auto" w:sz="4" w:space="0"/>
                    <w:right w:val="single" w:color="auto" w:sz="4" w:space="0"/>
                  </w:tcBorders>
                  <w:vAlign w:val="center"/>
                </w:tcPr>
                <w:p>
                  <w:pPr>
                    <w:jc w:val="center"/>
                    <w:rPr>
                      <w:color w:val="auto"/>
                    </w:rPr>
                  </w:pPr>
                </w:p>
              </w:tc>
              <w:tc>
                <w:tcPr>
                  <w:tcW w:w="946" w:type="dxa"/>
                  <w:vMerge w:val="continue"/>
                  <w:tcBorders>
                    <w:left w:val="single" w:color="auto" w:sz="4" w:space="0"/>
                    <w:bottom w:val="single" w:color="auto" w:sz="4" w:space="0"/>
                    <w:right w:val="single" w:color="auto" w:sz="4" w:space="0"/>
                  </w:tcBorders>
                  <w:vAlign w:val="center"/>
                </w:tcPr>
                <w:p>
                  <w:pPr>
                    <w:jc w:val="center"/>
                    <w:rPr>
                      <w:color w:val="auto"/>
                    </w:rPr>
                  </w:pPr>
                </w:p>
              </w:tc>
              <w:tc>
                <w:tcPr>
                  <w:tcW w:w="946" w:type="dxa"/>
                  <w:vMerge w:val="continue"/>
                  <w:tcBorders>
                    <w:left w:val="single" w:color="auto" w:sz="4" w:space="0"/>
                    <w:bottom w:val="single" w:color="auto" w:sz="4" w:space="0"/>
                    <w:right w:val="single" w:color="auto" w:sz="4" w:space="0"/>
                  </w:tcBorders>
                  <w:vAlign w:val="center"/>
                </w:tcPr>
                <w:p>
                  <w:pPr>
                    <w:jc w:val="center"/>
                    <w:rPr>
                      <w:color w:val="auto"/>
                    </w:rPr>
                  </w:pPr>
                </w:p>
              </w:tc>
              <w:tc>
                <w:tcPr>
                  <w:tcW w:w="1553" w:type="dxa"/>
                  <w:vMerge w:val="continue"/>
                  <w:tcBorders>
                    <w:left w:val="single" w:color="auto" w:sz="4" w:space="0"/>
                    <w:bottom w:val="single" w:color="auto" w:sz="4" w:space="0"/>
                    <w:right w:val="single" w:color="auto" w:sz="4" w:space="0"/>
                  </w:tcBorders>
                  <w:vAlign w:val="center"/>
                </w:tcPr>
                <w:p>
                  <w:pPr>
                    <w:jc w:val="center"/>
                    <w:rPr>
                      <w:color w:val="auto"/>
                    </w:rPr>
                  </w:pPr>
                </w:p>
              </w:tc>
              <w:tc>
                <w:tcPr>
                  <w:tcW w:w="1145" w:type="dxa"/>
                  <w:vMerge w:val="continue"/>
                  <w:tcBorders>
                    <w:left w:val="single" w:color="auto" w:sz="4" w:space="0"/>
                    <w:bottom w:val="single" w:color="auto" w:sz="4" w:space="0"/>
                    <w:right w:val="single" w:color="auto" w:sz="4" w:space="0"/>
                  </w:tcBorders>
                  <w:vAlign w:val="center"/>
                </w:tcPr>
                <w:p>
                  <w:pPr>
                    <w:jc w:val="center"/>
                    <w:rPr>
                      <w:color w:val="auto"/>
                    </w:rPr>
                  </w:pPr>
                </w:p>
              </w:tc>
              <w:tc>
                <w:tcPr>
                  <w:tcW w:w="1207" w:type="dxa"/>
                  <w:tcBorders>
                    <w:top w:val="single" w:color="auto" w:sz="4" w:space="0"/>
                    <w:left w:val="single" w:color="auto" w:sz="4" w:space="0"/>
                    <w:right w:val="single" w:color="auto" w:sz="4" w:space="0"/>
                  </w:tcBorders>
                  <w:vAlign w:val="center"/>
                </w:tcPr>
                <w:p>
                  <w:pPr>
                    <w:jc w:val="center"/>
                    <w:rPr>
                      <w:color w:val="auto"/>
                    </w:rPr>
                  </w:pPr>
                  <w:r>
                    <w:rPr>
                      <w:color w:val="auto"/>
                    </w:rPr>
                    <w:t>NH</w:t>
                  </w:r>
                  <w:r>
                    <w:rPr>
                      <w:color w:val="auto"/>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155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1</w:t>
                  </w:r>
                </w:p>
              </w:tc>
              <w:tc>
                <w:tcPr>
                  <w:tcW w:w="170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氨区1</w:t>
                  </w:r>
                </w:p>
              </w:tc>
              <w:tc>
                <w:tcPr>
                  <w:tcW w:w="94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15</w:t>
                  </w:r>
                </w:p>
              </w:tc>
              <w:tc>
                <w:tcPr>
                  <w:tcW w:w="94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7</w:t>
                  </w:r>
                </w:p>
              </w:tc>
              <w:tc>
                <w:tcPr>
                  <w:tcW w:w="155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5</w:t>
                  </w:r>
                </w:p>
              </w:tc>
              <w:tc>
                <w:tcPr>
                  <w:tcW w:w="114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7920</w:t>
                  </w:r>
                </w:p>
              </w:tc>
              <w:tc>
                <w:tcPr>
                  <w:tcW w:w="1207"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rPr>
                    <w:t>0.0116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trPr>
              <w:tc>
                <w:tcPr>
                  <w:tcW w:w="155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2</w:t>
                  </w:r>
                </w:p>
              </w:tc>
              <w:tc>
                <w:tcPr>
                  <w:tcW w:w="170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氨区2</w:t>
                  </w:r>
                </w:p>
              </w:tc>
              <w:tc>
                <w:tcPr>
                  <w:tcW w:w="94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15</w:t>
                  </w:r>
                </w:p>
              </w:tc>
              <w:tc>
                <w:tcPr>
                  <w:tcW w:w="94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7</w:t>
                  </w:r>
                </w:p>
              </w:tc>
              <w:tc>
                <w:tcPr>
                  <w:tcW w:w="155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5</w:t>
                  </w:r>
                </w:p>
              </w:tc>
              <w:tc>
                <w:tcPr>
                  <w:tcW w:w="114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7920</w:t>
                  </w:r>
                </w:p>
              </w:tc>
              <w:tc>
                <w:tcPr>
                  <w:tcW w:w="1207"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0.0116</w:t>
                  </w:r>
                </w:p>
              </w:tc>
            </w:tr>
          </w:tbl>
          <w:p>
            <w:pPr>
              <w:spacing w:line="360" w:lineRule="auto"/>
              <w:ind w:firstLine="480" w:firstLineChars="200"/>
              <w:rPr>
                <w:color w:val="auto"/>
                <w:sz w:val="24"/>
                <w:szCs w:val="24"/>
              </w:rPr>
            </w:pPr>
            <w:r>
              <w:rPr>
                <w:rFonts w:hint="eastAsia"/>
                <w:color w:val="auto"/>
                <w:sz w:val="24"/>
                <w:szCs w:val="24"/>
              </w:rPr>
              <w:t>2、大气</w:t>
            </w:r>
            <w:r>
              <w:rPr>
                <w:color w:val="auto"/>
                <w:sz w:val="24"/>
                <w:szCs w:val="24"/>
              </w:rPr>
              <w:t>环境影响分析</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1 \* GB2</w:instrText>
            </w:r>
            <w:r>
              <w:rPr>
                <w:color w:val="auto"/>
                <w:sz w:val="24"/>
                <w:szCs w:val="24"/>
              </w:rPr>
              <w:instrText xml:space="preserve"> </w:instrText>
            </w:r>
            <w:r>
              <w:rPr>
                <w:color w:val="auto"/>
                <w:sz w:val="24"/>
                <w:szCs w:val="24"/>
              </w:rPr>
              <w:fldChar w:fldCharType="separate"/>
            </w:r>
            <w:r>
              <w:rPr>
                <w:rFonts w:hint="eastAsia"/>
                <w:color w:val="auto"/>
                <w:sz w:val="24"/>
                <w:szCs w:val="24"/>
              </w:rPr>
              <w:t>⑴</w:t>
            </w:r>
            <w:r>
              <w:rPr>
                <w:color w:val="auto"/>
                <w:sz w:val="24"/>
                <w:szCs w:val="24"/>
              </w:rPr>
              <w:fldChar w:fldCharType="end"/>
            </w:r>
            <w:r>
              <w:rPr>
                <w:rFonts w:hint="eastAsia"/>
                <w:color w:val="auto"/>
                <w:sz w:val="24"/>
                <w:szCs w:val="24"/>
              </w:rPr>
              <w:t>有组织废气环境影响分析</w:t>
            </w:r>
          </w:p>
          <w:p>
            <w:pPr>
              <w:spacing w:line="360" w:lineRule="auto"/>
              <w:ind w:firstLine="480" w:firstLineChars="200"/>
              <w:rPr>
                <w:color w:val="auto"/>
                <w:sz w:val="24"/>
                <w:szCs w:val="24"/>
              </w:rPr>
            </w:pPr>
            <w:r>
              <w:rPr>
                <w:color w:val="auto"/>
                <w:sz w:val="24"/>
                <w:szCs w:val="24"/>
              </w:rPr>
              <w:t>根据《环境影响评价技术导则-大气环境》（HJ2.2-2008），采用估算模式计算的</w:t>
            </w:r>
            <w:r>
              <w:rPr>
                <w:rFonts w:hint="eastAsia"/>
                <w:color w:val="auto"/>
                <w:sz w:val="24"/>
                <w:szCs w:val="24"/>
              </w:rPr>
              <w:t>有组织废气</w:t>
            </w:r>
            <w:r>
              <w:rPr>
                <w:color w:val="auto"/>
                <w:sz w:val="24"/>
                <w:szCs w:val="24"/>
              </w:rPr>
              <w:t>预测结果见表23</w:t>
            </w:r>
            <w:r>
              <w:rPr>
                <w:rFonts w:hint="eastAsia"/>
                <w:color w:val="auto"/>
                <w:sz w:val="24"/>
                <w:szCs w:val="24"/>
              </w:rPr>
              <w:t>~</w:t>
            </w:r>
            <w:r>
              <w:rPr>
                <w:color w:val="auto"/>
                <w:sz w:val="24"/>
                <w:szCs w:val="24"/>
              </w:rPr>
              <w:t>25。</w:t>
            </w:r>
          </w:p>
          <w:p>
            <w:pPr>
              <w:spacing w:line="360" w:lineRule="auto"/>
              <w:jc w:val="center"/>
              <w:rPr>
                <w:rFonts w:eastAsia="黑体"/>
                <w:color w:val="auto"/>
                <w:sz w:val="24"/>
                <w:szCs w:val="24"/>
              </w:rPr>
            </w:pPr>
            <w:r>
              <w:rPr>
                <w:rFonts w:eastAsia="黑体"/>
                <w:color w:val="auto"/>
                <w:sz w:val="24"/>
                <w:szCs w:val="24"/>
              </w:rPr>
              <w:t>表23</w:t>
            </w:r>
            <w:r>
              <w:rPr>
                <w:rFonts w:hint="eastAsia" w:eastAsia="黑体"/>
                <w:color w:val="auto"/>
                <w:sz w:val="24"/>
                <w:szCs w:val="24"/>
              </w:rPr>
              <w:t xml:space="preserve">     1#烟囱有组织废气</w:t>
            </w:r>
            <w:r>
              <w:rPr>
                <w:rFonts w:eastAsia="黑体"/>
                <w:color w:val="auto"/>
                <w:sz w:val="24"/>
                <w:szCs w:val="24"/>
              </w:rPr>
              <w:t>估算结果一览表</w:t>
            </w:r>
          </w:p>
          <w:tbl>
            <w:tblPr>
              <w:tblStyle w:val="26"/>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
              <w:gridCol w:w="757"/>
              <w:gridCol w:w="1227"/>
              <w:gridCol w:w="770"/>
              <w:gridCol w:w="1227"/>
              <w:gridCol w:w="770"/>
              <w:gridCol w:w="1227"/>
              <w:gridCol w:w="770"/>
              <w:gridCol w:w="1227"/>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序号</w:t>
                  </w:r>
                </w:p>
              </w:tc>
              <w:tc>
                <w:tcPr>
                  <w:tcW w:w="757"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下风向距离（m）</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PM</w:t>
                  </w:r>
                  <w:r>
                    <w:rPr>
                      <w:color w:val="auto"/>
                      <w:vertAlign w:val="subscript"/>
                    </w:rPr>
                    <w:t>10</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tcPr>
                <w:p>
                  <w:pPr>
                    <w:adjustRightInd w:val="0"/>
                    <w:snapToGrid w:val="0"/>
                    <w:jc w:val="center"/>
                    <w:rPr>
                      <w:color w:val="auto"/>
                    </w:rPr>
                  </w:pPr>
                  <w:r>
                    <w:rPr>
                      <w:color w:val="auto"/>
                    </w:rPr>
                    <w:t>SO</w:t>
                  </w:r>
                  <w:r>
                    <w:rPr>
                      <w:color w:val="auto"/>
                      <w:vertAlign w:val="subscript"/>
                    </w:rPr>
                    <w:t>2</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tcPr>
                <w:p>
                  <w:pPr>
                    <w:adjustRightInd w:val="0"/>
                    <w:snapToGrid w:val="0"/>
                    <w:jc w:val="center"/>
                    <w:rPr>
                      <w:color w:val="auto"/>
                    </w:rPr>
                  </w:pPr>
                  <w:r>
                    <w:rPr>
                      <w:color w:val="auto"/>
                    </w:rPr>
                    <w:t>NO</w:t>
                  </w:r>
                  <w:r>
                    <w:rPr>
                      <w:color w:val="auto"/>
                      <w:vertAlign w:val="subscript"/>
                    </w:rPr>
                    <w:t>X</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NH</w:t>
                  </w:r>
                  <w:r>
                    <w:rPr>
                      <w:color w:val="auto"/>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p>
              </w:tc>
              <w:tc>
                <w:tcPr>
                  <w:tcW w:w="75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地面浓度（mg/m</w:t>
                  </w:r>
                  <w:r>
                    <w:rPr>
                      <w:color w:val="auto"/>
                      <w:vertAlign w:val="superscript"/>
                    </w:rPr>
                    <w:t>3</w:t>
                  </w:r>
                  <w:r>
                    <w:rPr>
                      <w:color w:val="auto"/>
                    </w:rPr>
                    <w:t>）</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占标率（%）</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地面浓度（mg/m</w:t>
                  </w:r>
                  <w:r>
                    <w:rPr>
                      <w:color w:val="auto"/>
                      <w:vertAlign w:val="superscript"/>
                    </w:rPr>
                    <w:t>3</w:t>
                  </w:r>
                  <w:r>
                    <w:rPr>
                      <w:color w:val="auto"/>
                    </w:rPr>
                    <w:t>）</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占标率（%）</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地面浓度（mg/m</w:t>
                  </w:r>
                  <w:r>
                    <w:rPr>
                      <w:color w:val="auto"/>
                      <w:vertAlign w:val="superscript"/>
                    </w:rPr>
                    <w:t>3</w:t>
                  </w:r>
                  <w:r>
                    <w:rPr>
                      <w:color w:val="auto"/>
                    </w:rPr>
                    <w:t>）</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占标率（%）</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地面浓度（mg/m</w:t>
                  </w:r>
                  <w:r>
                    <w:rPr>
                      <w:color w:val="auto"/>
                      <w:vertAlign w:val="superscript"/>
                    </w:rPr>
                    <w:t>3</w:t>
                  </w:r>
                  <w:r>
                    <w:rPr>
                      <w:color w:val="auto"/>
                    </w:rPr>
                    <w:t>）</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adjustRightInd w:val="0"/>
                    <w:snapToGrid w:val="0"/>
                    <w:jc w:val="center"/>
                    <w:rPr>
                      <w:color w:val="auto"/>
                      <w:kern w:val="0"/>
                    </w:rPr>
                  </w:pPr>
                  <w:r>
                    <w:rPr>
                      <w:color w:val="auto"/>
                      <w:kern w:val="0"/>
                    </w:rPr>
                    <w:t>2</w:t>
                  </w:r>
                </w:p>
              </w:tc>
              <w:tc>
                <w:tcPr>
                  <w:tcW w:w="7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pPr>
                    <w:adjustRightInd w:val="0"/>
                    <w:snapToGrid w:val="0"/>
                    <w:jc w:val="center"/>
                    <w:rPr>
                      <w:color w:val="auto"/>
                    </w:rPr>
                  </w:pPr>
                  <w:r>
                    <w:rPr>
                      <w:color w:val="auto"/>
                    </w:rPr>
                    <w:t>100</w:t>
                  </w:r>
                </w:p>
              </w:tc>
              <w:tc>
                <w:tcPr>
                  <w:tcW w:w="122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pPr>
                    <w:adjustRightInd w:val="0"/>
                    <w:snapToGrid w:val="0"/>
                    <w:jc w:val="center"/>
                    <w:rPr>
                      <w:color w:val="auto"/>
                    </w:rPr>
                  </w:pPr>
                  <w:r>
                    <w:rPr>
                      <w:color w:val="auto"/>
                    </w:rPr>
                    <w:t>2.15E-16</w:t>
                  </w:r>
                </w:p>
              </w:tc>
              <w:tc>
                <w:tcPr>
                  <w:tcW w:w="770"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2.56E-15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1.15E-14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pPr>
                    <w:adjustRightInd w:val="0"/>
                    <w:snapToGrid w:val="0"/>
                    <w:jc w:val="center"/>
                    <w:rPr>
                      <w:color w:val="auto"/>
                    </w:rPr>
                  </w:pPr>
                  <w:r>
                    <w:rPr>
                      <w:color w:val="auto"/>
                    </w:rPr>
                    <w:t>1.64E-16</w:t>
                  </w:r>
                </w:p>
              </w:tc>
              <w:tc>
                <w:tcPr>
                  <w:tcW w:w="770"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pPr>
                    <w:adjustRightInd w:val="0"/>
                    <w:snapToGrid w:val="0"/>
                    <w:jc w:val="center"/>
                    <w:rPr>
                      <w:color w:val="auto"/>
                    </w:rPr>
                  </w:pPr>
                  <w:r>
                    <w:rPr>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3</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8.91E-10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1.06E-08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4.77E-08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6.79E-10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4</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300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3.72E-09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4.44E-08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1.99E-07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2.83E-09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5</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400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1.79E-06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2.14E-05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9.60E-05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1.37E-06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6</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500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2.83E-05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0.000337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0.07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0.001514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0.61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2.15E-05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7</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600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9.20E-05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0.001097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0.22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0.004927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1.97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7.01E-05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8</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700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0.000126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0.001497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0.006723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2.69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9.56E-05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9</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800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0.000175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0.002081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0.42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0.009347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3.74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0.000133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10</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0.000209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0.002496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0.50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0.01121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4.48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0.000159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11</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975</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0.000216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0.002571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0.51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0.01154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4.62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0.000164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12</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1000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0.000215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0.002564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0.51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0.01152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4.61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0.000164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13</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1100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0.000207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0.002463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0.49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0.01106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4.42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0.000157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14</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1200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0.000195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0.002326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0.47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0.01045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4.18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0.000149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15</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1300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0.000184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0.002197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0.44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0.009867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3.95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16</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1400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0.000174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0.002081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0.42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0.009344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3.74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0.000133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17</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1500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0.000166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0.001976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0.40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0.008875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3.55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0.000126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18</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1600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0.000158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0.001882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0.00845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3.38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19</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1700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0.000151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0.001796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0.36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0.008065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3.23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0.000115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20</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1800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0.000144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0.001718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0.007714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3.09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21</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1900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0.000138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0.001646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0.007393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2.96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22</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2000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0.000133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0.001583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0.007111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2.84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0.000101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23</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2100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0.000128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0.001529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0.006865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2.75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9.76E-05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24</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2200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0.000124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0.001478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0.006636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2.65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9.44E-05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25</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2300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0.00143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0.29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0.006421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2.57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9.13E-05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26</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2400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0.000116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0.001385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0.28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0.00622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2.49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8.85E-05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27</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2500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0.000113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0.001343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0.27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0.006032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2.41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8.58E-05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最大地面浓度</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0.000216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0.05</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0.002571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0.51</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0.01154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4.62</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0.000164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jc w:val="center"/>
              </w:trPr>
              <w:tc>
                <w:tcPr>
                  <w:tcW w:w="1073"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出现距离（m）</w:t>
                  </w:r>
                </w:p>
              </w:tc>
              <w:tc>
                <w:tcPr>
                  <w:tcW w:w="7988" w:type="dxa"/>
                  <w:gridSpan w:val="8"/>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60"/>
                    <w:adjustRightInd w:val="0"/>
                    <w:snapToGrid w:val="0"/>
                    <w:rPr>
                      <w:color w:val="auto"/>
                    </w:rPr>
                  </w:pPr>
                  <w:r>
                    <w:rPr>
                      <w:color w:val="auto"/>
                    </w:rPr>
                    <w:t>标准限值</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0.45</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0.5</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0.25</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60"/>
                    <w:adjustRightInd w:val="0"/>
                    <w:snapToGrid w:val="0"/>
                    <w:rPr>
                      <w:color w:val="auto"/>
                    </w:rPr>
                  </w:pPr>
                  <w:r>
                    <w:rPr>
                      <w:color w:val="auto"/>
                    </w:rPr>
                    <w:t>超标率</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0</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60"/>
                    <w:adjustRightInd w:val="0"/>
                    <w:snapToGrid w:val="0"/>
                    <w:rPr>
                      <w:color w:val="auto"/>
                    </w:rPr>
                  </w:pPr>
                  <w:r>
                    <w:rPr>
                      <w:color w:val="auto"/>
                    </w:rPr>
                    <w:t>最大超标倍数</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w:t>
                  </w:r>
                </w:p>
              </w:tc>
            </w:tr>
          </w:tbl>
          <w:p>
            <w:pPr>
              <w:spacing w:line="360" w:lineRule="auto"/>
              <w:jc w:val="center"/>
              <w:rPr>
                <w:rFonts w:eastAsia="黑体"/>
                <w:color w:val="auto"/>
                <w:sz w:val="24"/>
                <w:szCs w:val="24"/>
              </w:rPr>
            </w:pPr>
            <w:r>
              <w:rPr>
                <w:rFonts w:eastAsia="黑体"/>
                <w:color w:val="auto"/>
                <w:sz w:val="24"/>
                <w:szCs w:val="24"/>
              </w:rPr>
              <w:t>表24</w:t>
            </w:r>
            <w:r>
              <w:rPr>
                <w:rFonts w:hint="eastAsia" w:eastAsia="黑体"/>
                <w:color w:val="auto"/>
                <w:sz w:val="24"/>
                <w:szCs w:val="24"/>
              </w:rPr>
              <w:t xml:space="preserve">    2#烟囱有组织废气</w:t>
            </w:r>
            <w:r>
              <w:rPr>
                <w:rFonts w:eastAsia="黑体"/>
                <w:color w:val="auto"/>
                <w:sz w:val="24"/>
                <w:szCs w:val="24"/>
              </w:rPr>
              <w:t>估算结果一览表</w:t>
            </w:r>
          </w:p>
          <w:tbl>
            <w:tblPr>
              <w:tblStyle w:val="26"/>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
              <w:gridCol w:w="757"/>
              <w:gridCol w:w="1227"/>
              <w:gridCol w:w="770"/>
              <w:gridCol w:w="1227"/>
              <w:gridCol w:w="770"/>
              <w:gridCol w:w="1227"/>
              <w:gridCol w:w="770"/>
              <w:gridCol w:w="1227"/>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序号</w:t>
                  </w:r>
                </w:p>
              </w:tc>
              <w:tc>
                <w:tcPr>
                  <w:tcW w:w="757"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下风向距离（m）</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PM</w:t>
                  </w:r>
                  <w:r>
                    <w:rPr>
                      <w:color w:val="auto"/>
                      <w:vertAlign w:val="subscript"/>
                    </w:rPr>
                    <w:t>10</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tcPr>
                <w:p>
                  <w:pPr>
                    <w:adjustRightInd w:val="0"/>
                    <w:snapToGrid w:val="0"/>
                    <w:jc w:val="center"/>
                    <w:rPr>
                      <w:color w:val="auto"/>
                    </w:rPr>
                  </w:pPr>
                  <w:r>
                    <w:rPr>
                      <w:color w:val="auto"/>
                    </w:rPr>
                    <w:t>SO</w:t>
                  </w:r>
                  <w:r>
                    <w:rPr>
                      <w:color w:val="auto"/>
                      <w:vertAlign w:val="subscript"/>
                    </w:rPr>
                    <w:t>2</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tcPr>
                <w:p>
                  <w:pPr>
                    <w:adjustRightInd w:val="0"/>
                    <w:snapToGrid w:val="0"/>
                    <w:jc w:val="center"/>
                    <w:rPr>
                      <w:color w:val="auto"/>
                    </w:rPr>
                  </w:pPr>
                  <w:r>
                    <w:rPr>
                      <w:color w:val="auto"/>
                    </w:rPr>
                    <w:t>NO</w:t>
                  </w:r>
                  <w:r>
                    <w:rPr>
                      <w:color w:val="auto"/>
                      <w:vertAlign w:val="subscript"/>
                    </w:rPr>
                    <w:t>X</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NH</w:t>
                  </w:r>
                  <w:r>
                    <w:rPr>
                      <w:color w:val="auto"/>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p>
              </w:tc>
              <w:tc>
                <w:tcPr>
                  <w:tcW w:w="75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地面浓度（mg/m</w:t>
                  </w:r>
                  <w:r>
                    <w:rPr>
                      <w:color w:val="auto"/>
                      <w:vertAlign w:val="superscript"/>
                    </w:rPr>
                    <w:t>3</w:t>
                  </w:r>
                  <w:r>
                    <w:rPr>
                      <w:color w:val="auto"/>
                    </w:rPr>
                    <w:t>）</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占标率（%）</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地面浓度（mg/m</w:t>
                  </w:r>
                  <w:r>
                    <w:rPr>
                      <w:color w:val="auto"/>
                      <w:vertAlign w:val="superscript"/>
                    </w:rPr>
                    <w:t>3</w:t>
                  </w:r>
                  <w:r>
                    <w:rPr>
                      <w:color w:val="auto"/>
                    </w:rPr>
                    <w:t>）</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占标率（%）</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地面浓度（mg/m</w:t>
                  </w:r>
                  <w:r>
                    <w:rPr>
                      <w:color w:val="auto"/>
                      <w:vertAlign w:val="superscript"/>
                    </w:rPr>
                    <w:t>3</w:t>
                  </w:r>
                  <w:r>
                    <w:rPr>
                      <w:color w:val="auto"/>
                    </w:rPr>
                    <w:t>）</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占标率（%）</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地面浓度（mg/m</w:t>
                  </w:r>
                  <w:r>
                    <w:rPr>
                      <w:color w:val="auto"/>
                      <w:vertAlign w:val="superscript"/>
                    </w:rPr>
                    <w:t>3</w:t>
                  </w:r>
                  <w:r>
                    <w:rPr>
                      <w:color w:val="auto"/>
                    </w:rPr>
                    <w:t>）</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adjustRightInd w:val="0"/>
                    <w:snapToGrid w:val="0"/>
                    <w:jc w:val="center"/>
                    <w:rPr>
                      <w:color w:val="auto"/>
                      <w:kern w:val="0"/>
                    </w:rPr>
                  </w:pPr>
                  <w:r>
                    <w:rPr>
                      <w:color w:val="auto"/>
                      <w:kern w:val="0"/>
                    </w:rPr>
                    <w:t>2</w:t>
                  </w:r>
                </w:p>
              </w:tc>
              <w:tc>
                <w:tcPr>
                  <w:tcW w:w="7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pPr>
                    <w:adjustRightInd w:val="0"/>
                    <w:snapToGrid w:val="0"/>
                    <w:jc w:val="center"/>
                    <w:rPr>
                      <w:color w:val="auto"/>
                    </w:rPr>
                  </w:pPr>
                  <w:r>
                    <w:rPr>
                      <w:color w:val="auto"/>
                    </w:rPr>
                    <w:t>100</w:t>
                  </w:r>
                </w:p>
              </w:tc>
              <w:tc>
                <w:tcPr>
                  <w:tcW w:w="122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pPr>
                    <w:adjustRightInd w:val="0"/>
                    <w:snapToGrid w:val="0"/>
                    <w:jc w:val="center"/>
                    <w:rPr>
                      <w:color w:val="auto"/>
                    </w:rPr>
                  </w:pPr>
                  <w:r>
                    <w:rPr>
                      <w:color w:val="auto"/>
                    </w:rPr>
                    <w:t>1.35E-17</w:t>
                  </w:r>
                </w:p>
              </w:tc>
              <w:tc>
                <w:tcPr>
                  <w:tcW w:w="770"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1.99E-16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8.11E-16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pPr>
                    <w:adjustRightInd w:val="0"/>
                    <w:snapToGrid w:val="0"/>
                    <w:jc w:val="center"/>
                    <w:rPr>
                      <w:color w:val="auto"/>
                    </w:rPr>
                  </w:pPr>
                  <w:r>
                    <w:rPr>
                      <w:color w:val="auto"/>
                    </w:rPr>
                    <w:t>1.12E-17</w:t>
                  </w:r>
                </w:p>
              </w:tc>
              <w:tc>
                <w:tcPr>
                  <w:tcW w:w="770"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pPr>
                    <w:adjustRightInd w:val="0"/>
                    <w:snapToGrid w:val="0"/>
                    <w:jc w:val="center"/>
                    <w:rPr>
                      <w:color w:val="auto"/>
                    </w:rPr>
                  </w:pPr>
                  <w:r>
                    <w:rPr>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3</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2.07E-10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3.04E-09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1.24E-08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1.71E-10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4</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300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2.89E-08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4.25E-07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1.73E-06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2.39E-08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5</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400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4.48E-06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6.59E-05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0.000269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0.11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3.70E-06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6</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500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3.88E-05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0.000571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0.11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0.002329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0.93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3.21E-05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7</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600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9.07E-05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0.001335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0.27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0.005441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2.18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7.50E-05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8</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700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0.000106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0.001559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0.006353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2.54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8.76E-05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9</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800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0.000141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0.002068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0.41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0.008427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3.37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0.000116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10</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0.000163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0.002397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0.48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0.009767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3.91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0.000135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11</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949</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0.000165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0.002428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0.49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0.009893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3.96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0.000137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12</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1000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0.000163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0.002404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0.48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0.009795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3.92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0.000135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13</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1100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0.000162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0.002382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0.48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0.009705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3.88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0.000134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14</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1200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0.000157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0.002306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0.46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0.009396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3.76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15</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1300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0.000149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0.002198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0.44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0.008956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3.58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0.000124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16</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1400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0.000142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0.002092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0.42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0.008525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3.41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0.000118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17</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1500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0.000136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0.001995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0.40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0.00813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3.25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0.000112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18</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1600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0.001907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0.007769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3.11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0.000107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19</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1700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0.000124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0.001825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0.36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0.007438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2.98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0.000103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20</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1800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0.000119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0.001751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0.007133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2.85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9.84E-05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21</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1900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0.000114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0.001682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0.006853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2.74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9.45E-05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22</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2000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0.001618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0.006594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2.64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9.10E-05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23</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2100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0.000106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0.001559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0.006354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2.54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8.76E-05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24</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2200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0.000102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0.001505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0.30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0.006131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2.45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8.46E-05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25</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2300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9.87E-05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0.001454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0.29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0.005923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2.37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8.17E-05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26</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2400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9.55E-05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0.001406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0.28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0.00573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2.29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7.90E-05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27</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2500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9.25E-05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0.001362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0.27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0.005549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2.22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7.65E-05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color w:val="auto"/>
                    </w:rPr>
                  </w:pPr>
                  <w:r>
                    <w:rPr>
                      <w:color w:val="auto"/>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最大地面浓度</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0.000165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0.04</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0.002428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0.49</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0.009893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3.96</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0.000137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出现距离（m）</w:t>
                  </w:r>
                </w:p>
              </w:tc>
              <w:tc>
                <w:tcPr>
                  <w:tcW w:w="7988" w:type="dxa"/>
                  <w:gridSpan w:val="8"/>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60"/>
                    <w:adjustRightInd w:val="0"/>
                    <w:snapToGrid w:val="0"/>
                    <w:rPr>
                      <w:color w:val="auto"/>
                    </w:rPr>
                  </w:pPr>
                  <w:r>
                    <w:rPr>
                      <w:color w:val="auto"/>
                    </w:rPr>
                    <w:t>标准限值</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0.45</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tcPr>
                <w:p>
                  <w:pPr>
                    <w:adjustRightInd w:val="0"/>
                    <w:snapToGrid w:val="0"/>
                    <w:jc w:val="center"/>
                    <w:rPr>
                      <w:color w:val="auto"/>
                    </w:rPr>
                  </w:pPr>
                  <w:r>
                    <w:rPr>
                      <w:rFonts w:hint="eastAsia"/>
                      <w:color w:val="auto"/>
                    </w:rPr>
                    <w:t>0.5</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tcPr>
                <w:p>
                  <w:pPr>
                    <w:adjustRightInd w:val="0"/>
                    <w:snapToGrid w:val="0"/>
                    <w:jc w:val="center"/>
                    <w:rPr>
                      <w:color w:val="auto"/>
                    </w:rPr>
                  </w:pPr>
                  <w:r>
                    <w:rPr>
                      <w:rFonts w:hint="eastAsia"/>
                      <w:color w:val="auto"/>
                    </w:rPr>
                    <w:t>0.25</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60"/>
                    <w:adjustRightInd w:val="0"/>
                    <w:snapToGrid w:val="0"/>
                    <w:rPr>
                      <w:color w:val="auto"/>
                    </w:rPr>
                  </w:pPr>
                  <w:r>
                    <w:rPr>
                      <w:color w:val="auto"/>
                    </w:rPr>
                    <w:t>超标率</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0</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tcPr>
                <w:p>
                  <w:pPr>
                    <w:adjustRightInd w:val="0"/>
                    <w:snapToGrid w:val="0"/>
                    <w:jc w:val="center"/>
                    <w:rPr>
                      <w:color w:val="auto"/>
                    </w:rPr>
                  </w:pPr>
                  <w:r>
                    <w:rPr>
                      <w:rFonts w:hint="eastAsia"/>
                      <w:color w:val="auto"/>
                    </w:rPr>
                    <w:t>0</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tcPr>
                <w:p>
                  <w:pPr>
                    <w:adjustRightInd w:val="0"/>
                    <w:snapToGrid w:val="0"/>
                    <w:jc w:val="center"/>
                    <w:rPr>
                      <w:color w:val="auto"/>
                    </w:rPr>
                  </w:pPr>
                  <w:r>
                    <w:rPr>
                      <w:rFonts w:hint="eastAsia"/>
                      <w:color w:val="auto"/>
                    </w:rPr>
                    <w:t>0</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60"/>
                    <w:adjustRightInd w:val="0"/>
                    <w:snapToGrid w:val="0"/>
                    <w:rPr>
                      <w:color w:val="auto"/>
                    </w:rPr>
                  </w:pPr>
                  <w:r>
                    <w:rPr>
                      <w:color w:val="auto"/>
                    </w:rPr>
                    <w:t>最大超标倍数</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w:t>
                  </w:r>
                </w:p>
              </w:tc>
            </w:tr>
          </w:tbl>
          <w:p>
            <w:pPr>
              <w:spacing w:line="360" w:lineRule="auto"/>
              <w:jc w:val="center"/>
              <w:rPr>
                <w:rFonts w:eastAsia="黑体"/>
                <w:color w:val="auto"/>
                <w:sz w:val="24"/>
                <w:szCs w:val="24"/>
              </w:rPr>
            </w:pPr>
            <w:r>
              <w:rPr>
                <w:rFonts w:eastAsia="黑体"/>
                <w:color w:val="auto"/>
                <w:sz w:val="24"/>
                <w:szCs w:val="24"/>
              </w:rPr>
              <w:t>表25</w:t>
            </w:r>
            <w:r>
              <w:rPr>
                <w:rFonts w:hint="eastAsia" w:eastAsia="黑体"/>
                <w:color w:val="auto"/>
                <w:sz w:val="24"/>
                <w:szCs w:val="24"/>
              </w:rPr>
              <w:t xml:space="preserve">    3#烟囱有组织废气</w:t>
            </w:r>
            <w:r>
              <w:rPr>
                <w:rFonts w:eastAsia="黑体"/>
                <w:color w:val="auto"/>
                <w:sz w:val="24"/>
                <w:szCs w:val="24"/>
              </w:rPr>
              <w:t>估算结果一览表</w:t>
            </w:r>
          </w:p>
          <w:tbl>
            <w:tblPr>
              <w:tblStyle w:val="26"/>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
              <w:gridCol w:w="757"/>
              <w:gridCol w:w="1227"/>
              <w:gridCol w:w="770"/>
              <w:gridCol w:w="1227"/>
              <w:gridCol w:w="770"/>
              <w:gridCol w:w="1227"/>
              <w:gridCol w:w="770"/>
              <w:gridCol w:w="1227"/>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序号</w:t>
                  </w:r>
                </w:p>
              </w:tc>
              <w:tc>
                <w:tcPr>
                  <w:tcW w:w="757"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下风向距离（m）</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PM</w:t>
                  </w:r>
                  <w:r>
                    <w:rPr>
                      <w:rFonts w:hint="eastAsia"/>
                      <w:color w:val="auto"/>
                      <w:vertAlign w:val="subscript"/>
                    </w:rPr>
                    <w:t>10</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tcPr>
                <w:p>
                  <w:pPr>
                    <w:adjustRightInd w:val="0"/>
                    <w:snapToGrid w:val="0"/>
                    <w:jc w:val="center"/>
                    <w:rPr>
                      <w:color w:val="auto"/>
                    </w:rPr>
                  </w:pPr>
                  <w:r>
                    <w:rPr>
                      <w:rFonts w:hint="eastAsia"/>
                      <w:color w:val="auto"/>
                    </w:rPr>
                    <w:t>SO</w:t>
                  </w:r>
                  <w:r>
                    <w:rPr>
                      <w:rFonts w:hint="eastAsia"/>
                      <w:color w:val="auto"/>
                      <w:vertAlign w:val="subscript"/>
                    </w:rPr>
                    <w:t>2</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tcPr>
                <w:p>
                  <w:pPr>
                    <w:adjustRightInd w:val="0"/>
                    <w:snapToGrid w:val="0"/>
                    <w:jc w:val="center"/>
                    <w:rPr>
                      <w:color w:val="auto"/>
                    </w:rPr>
                  </w:pPr>
                  <w:r>
                    <w:rPr>
                      <w:rFonts w:hint="eastAsia"/>
                      <w:color w:val="auto"/>
                    </w:rPr>
                    <w:t>NO</w:t>
                  </w:r>
                  <w:r>
                    <w:rPr>
                      <w:rFonts w:hint="eastAsia"/>
                      <w:color w:val="auto"/>
                      <w:vertAlign w:val="subscript"/>
                    </w:rPr>
                    <w:t>X</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NH</w:t>
                  </w:r>
                  <w:r>
                    <w:rPr>
                      <w:rFonts w:hint="eastAsia"/>
                      <w:color w:val="auto"/>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p>
              </w:tc>
              <w:tc>
                <w:tcPr>
                  <w:tcW w:w="75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地面</w:t>
                  </w:r>
                  <w:r>
                    <w:rPr>
                      <w:color w:val="auto"/>
                    </w:rPr>
                    <w:t>浓度（mg/m</w:t>
                  </w:r>
                  <w:r>
                    <w:rPr>
                      <w:color w:val="auto"/>
                      <w:vertAlign w:val="superscript"/>
                    </w:rPr>
                    <w:t>3</w:t>
                  </w:r>
                  <w:r>
                    <w:rPr>
                      <w:color w:val="auto"/>
                    </w:rPr>
                    <w:t>）</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占标率（%）</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地面</w:t>
                  </w:r>
                  <w:r>
                    <w:rPr>
                      <w:color w:val="auto"/>
                    </w:rPr>
                    <w:t>浓度（mg/m</w:t>
                  </w:r>
                  <w:r>
                    <w:rPr>
                      <w:color w:val="auto"/>
                      <w:vertAlign w:val="superscript"/>
                    </w:rPr>
                    <w:t>3</w:t>
                  </w:r>
                  <w:r>
                    <w:rPr>
                      <w:color w:val="auto"/>
                    </w:rPr>
                    <w:t>）</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占标率（%）</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地面</w:t>
                  </w:r>
                  <w:r>
                    <w:rPr>
                      <w:color w:val="auto"/>
                    </w:rPr>
                    <w:t>浓度（mg/m</w:t>
                  </w:r>
                  <w:r>
                    <w:rPr>
                      <w:color w:val="auto"/>
                      <w:vertAlign w:val="superscript"/>
                    </w:rPr>
                    <w:t>3</w:t>
                  </w:r>
                  <w:r>
                    <w:rPr>
                      <w:color w:val="auto"/>
                    </w:rPr>
                    <w:t>）</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占标率（%）</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地面</w:t>
                  </w:r>
                  <w:r>
                    <w:rPr>
                      <w:color w:val="auto"/>
                    </w:rPr>
                    <w:t>浓度（mg/m</w:t>
                  </w:r>
                  <w:r>
                    <w:rPr>
                      <w:color w:val="auto"/>
                      <w:vertAlign w:val="superscript"/>
                    </w:rPr>
                    <w:t>3</w:t>
                  </w:r>
                  <w:r>
                    <w:rPr>
                      <w:color w:val="auto"/>
                    </w:rPr>
                    <w:t>）</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adjustRightInd w:val="0"/>
                    <w:snapToGrid w:val="0"/>
                    <w:jc w:val="center"/>
                    <w:rPr>
                      <w:color w:val="auto"/>
                      <w:kern w:val="0"/>
                    </w:rPr>
                  </w:pPr>
                  <w:r>
                    <w:rPr>
                      <w:color w:val="auto"/>
                      <w:kern w:val="0"/>
                    </w:rPr>
                    <w:t>2</w:t>
                  </w:r>
                </w:p>
              </w:tc>
              <w:tc>
                <w:tcPr>
                  <w:tcW w:w="7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pPr>
                    <w:adjustRightInd w:val="0"/>
                    <w:snapToGrid w:val="0"/>
                    <w:jc w:val="center"/>
                    <w:rPr>
                      <w:rFonts w:ascii="宋体" w:hAnsi="宋体" w:cs="宋体"/>
                      <w:color w:val="auto"/>
                    </w:rPr>
                  </w:pPr>
                  <w:r>
                    <w:rPr>
                      <w:rFonts w:hint="eastAsia"/>
                      <w:color w:val="auto"/>
                    </w:rPr>
                    <w:t>100</w:t>
                  </w:r>
                </w:p>
              </w:tc>
              <w:tc>
                <w:tcPr>
                  <w:tcW w:w="122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pPr>
                    <w:adjustRightInd w:val="0"/>
                    <w:snapToGrid w:val="0"/>
                    <w:jc w:val="center"/>
                    <w:rPr>
                      <w:rFonts w:ascii="宋体" w:hAnsi="宋体" w:cs="宋体"/>
                      <w:color w:val="auto"/>
                    </w:rPr>
                  </w:pPr>
                  <w:r>
                    <w:rPr>
                      <w:rFonts w:hint="eastAsia"/>
                      <w:color w:val="auto"/>
                    </w:rPr>
                    <w:t>1.59E-13</w:t>
                  </w:r>
                </w:p>
              </w:tc>
              <w:tc>
                <w:tcPr>
                  <w:tcW w:w="770"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6.49E-13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2.738E-12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0.00</w:t>
                  </w:r>
                </w:p>
              </w:tc>
              <w:tc>
                <w:tcPr>
                  <w:tcW w:w="122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pPr>
                    <w:adjustRightInd w:val="0"/>
                    <w:snapToGrid w:val="0"/>
                    <w:jc w:val="center"/>
                    <w:rPr>
                      <w:rFonts w:ascii="宋体" w:hAnsi="宋体" w:cs="宋体"/>
                      <w:color w:val="auto"/>
                    </w:rPr>
                  </w:pPr>
                  <w:r>
                    <w:rPr>
                      <w:rFonts w:hint="eastAsia"/>
                      <w:color w:val="auto"/>
                    </w:rPr>
                    <w:t>3.50E-14</w:t>
                  </w:r>
                </w:p>
              </w:tc>
              <w:tc>
                <w:tcPr>
                  <w:tcW w:w="770"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3</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200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5.11E-08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2.08E-07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8.776E-7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1.12E-08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4</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300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6.38E-08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2.60E-07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1.095E-6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1.40E-08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5</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400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1.02E-07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4.17E-07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1.76E-6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2.25E-08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6</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500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1.39E-05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5.66E-05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0.0002387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0.10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3.05E-06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7</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600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0.000157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0.000639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0.002696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1.08</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3.45E-05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8</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700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0.000394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0.09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0.001603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0.32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0.006767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2.71</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8.65E-05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9</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800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0.00053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0.002158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0.43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0.00911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3.64</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0.000116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10</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900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0.00067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0.002726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0.55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0.01151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4.60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0.000147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11</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1000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0.000788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0.003207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0.64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0.01354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5.42</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0.000173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12</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1100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0.000813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0.003308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0.66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0.01396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5.58</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0.000178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13</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1175</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0.000823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0.00335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0.67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0.01414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5.66</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0.000181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14</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1200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0.000822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0.003346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0.67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0.01412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5.65</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0.000181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15</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1300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0.003258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0.65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0.01375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5.50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0.000176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16</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1400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0.000769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0.17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0.003129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0.63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0.01321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5.28</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0.000169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17</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1500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0.000737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0.16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0.002999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0.60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0.01266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5.06</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0.000162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18</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1600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0.000707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0.16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0.002878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0.58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0.01215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4.86</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0.000155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19</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1700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0.000679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0.002765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0.55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0.01167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4.67</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0.000149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20</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1800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0.000653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0.00266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0.53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0.01123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4.49</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0.000144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21</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1900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0.00063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0.14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0.002563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0.51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0.01082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4.33</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0.000138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22</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2000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0.000607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0.002472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0.49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0.01043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4.17</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0.000133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23</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2100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0.000586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0.002387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0.48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0.01008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4.03</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0.000129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24</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2200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0.000567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0.002308</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0.46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0.009742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3.90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0.000125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25</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2300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0.000549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0.002234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0.45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0.009429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3.77</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0.000121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color w:val="auto"/>
                      <w:kern w:val="0"/>
                    </w:rPr>
                    <w:t>26</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2400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0.000532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0.002165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0.43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0.009136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3.65</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0.000117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jc w:val="center"/>
                    <w:rPr>
                      <w:color w:val="auto"/>
                      <w:kern w:val="0"/>
                    </w:rPr>
                  </w:pPr>
                  <w:r>
                    <w:rPr>
                      <w:rFonts w:hint="eastAsia"/>
                      <w:color w:val="auto"/>
                      <w:kern w:val="0"/>
                    </w:rPr>
                    <w:t>27</w:t>
                  </w:r>
                </w:p>
              </w:tc>
              <w:tc>
                <w:tcPr>
                  <w:tcW w:w="75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2500</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0.000516</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0.11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0.002099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0.42 </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0.008861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tcPr>
                <w:p>
                  <w:pPr>
                    <w:jc w:val="center"/>
                    <w:rPr>
                      <w:color w:val="auto"/>
                    </w:rPr>
                  </w:pPr>
                  <w:r>
                    <w:rPr>
                      <w:color w:val="auto"/>
                    </w:rPr>
                    <w:t>3.54</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0.000113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adjustRightInd w:val="0"/>
                    <w:snapToGrid w:val="0"/>
                    <w:jc w:val="center"/>
                    <w:rPr>
                      <w:rFonts w:ascii="宋体" w:hAnsi="宋体" w:cs="宋体"/>
                      <w:color w:val="auto"/>
                    </w:rPr>
                  </w:pPr>
                  <w:r>
                    <w:rPr>
                      <w:rFonts w:hint="eastAsia"/>
                      <w:color w:val="auto"/>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最大地面浓度</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0.000823</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0.18</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0.00335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0.67</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0.014</w:t>
                  </w:r>
                  <w:r>
                    <w:rPr>
                      <w:color w:val="auto"/>
                    </w:rPr>
                    <w:t>14</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5.</w:t>
                  </w:r>
                  <w:r>
                    <w:rPr>
                      <w:color w:val="auto"/>
                    </w:rPr>
                    <w:t>66</w:t>
                  </w:r>
                </w:p>
              </w:tc>
              <w:tc>
                <w:tcPr>
                  <w:tcW w:w="12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0.000181</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出现距离（m）</w:t>
                  </w:r>
                </w:p>
              </w:tc>
              <w:tc>
                <w:tcPr>
                  <w:tcW w:w="7988" w:type="dxa"/>
                  <w:gridSpan w:val="8"/>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1073"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60"/>
                    <w:adjustRightInd w:val="0"/>
                    <w:snapToGrid w:val="0"/>
                    <w:rPr>
                      <w:color w:val="auto"/>
                    </w:rPr>
                  </w:pPr>
                  <w:r>
                    <w:rPr>
                      <w:color w:val="auto"/>
                    </w:rPr>
                    <w:t>标准限值</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1.0</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tcPr>
                <w:p>
                  <w:pPr>
                    <w:adjustRightInd w:val="0"/>
                    <w:snapToGrid w:val="0"/>
                    <w:jc w:val="center"/>
                    <w:rPr>
                      <w:color w:val="auto"/>
                    </w:rPr>
                  </w:pPr>
                  <w:r>
                    <w:rPr>
                      <w:rFonts w:hint="eastAsia"/>
                      <w:color w:val="auto"/>
                    </w:rPr>
                    <w:t>0.5</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tcPr>
                <w:p>
                  <w:pPr>
                    <w:adjustRightInd w:val="0"/>
                    <w:snapToGrid w:val="0"/>
                    <w:jc w:val="center"/>
                    <w:rPr>
                      <w:color w:val="auto"/>
                    </w:rPr>
                  </w:pPr>
                  <w:r>
                    <w:rPr>
                      <w:rFonts w:hint="eastAsia"/>
                      <w:color w:val="auto"/>
                    </w:rPr>
                    <w:t>0.25</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60"/>
                    <w:adjustRightInd w:val="0"/>
                    <w:snapToGrid w:val="0"/>
                    <w:rPr>
                      <w:color w:val="auto"/>
                    </w:rPr>
                  </w:pPr>
                  <w:r>
                    <w:rPr>
                      <w:color w:val="auto"/>
                    </w:rPr>
                    <w:t>超标率</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0</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tcPr>
                <w:p>
                  <w:pPr>
                    <w:adjustRightInd w:val="0"/>
                    <w:snapToGrid w:val="0"/>
                    <w:jc w:val="center"/>
                    <w:rPr>
                      <w:color w:val="auto"/>
                    </w:rPr>
                  </w:pPr>
                  <w:r>
                    <w:rPr>
                      <w:rFonts w:hint="eastAsia"/>
                      <w:color w:val="auto"/>
                    </w:rPr>
                    <w:t>0</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tcPr>
                <w:p>
                  <w:pPr>
                    <w:adjustRightInd w:val="0"/>
                    <w:snapToGrid w:val="0"/>
                    <w:jc w:val="center"/>
                    <w:rPr>
                      <w:color w:val="auto"/>
                    </w:rPr>
                  </w:pPr>
                  <w:r>
                    <w:rPr>
                      <w:rFonts w:hint="eastAsia"/>
                      <w:color w:val="auto"/>
                    </w:rPr>
                    <w:t>0</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60"/>
                    <w:adjustRightInd w:val="0"/>
                    <w:snapToGrid w:val="0"/>
                    <w:rPr>
                      <w:color w:val="auto"/>
                    </w:rPr>
                  </w:pPr>
                  <w:r>
                    <w:rPr>
                      <w:color w:val="auto"/>
                    </w:rPr>
                    <w:t>最大超标倍数</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w:t>
                  </w:r>
                </w:p>
              </w:tc>
              <w:tc>
                <w:tcPr>
                  <w:tcW w:w="199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auto"/>
                    </w:rPr>
                  </w:pPr>
                  <w:r>
                    <w:rPr>
                      <w:color w:val="auto"/>
                    </w:rPr>
                    <w:t>/</w:t>
                  </w:r>
                </w:p>
              </w:tc>
            </w:tr>
          </w:tbl>
          <w:p>
            <w:pPr>
              <w:spacing w:line="360" w:lineRule="auto"/>
              <w:ind w:firstLine="480" w:firstLineChars="200"/>
              <w:rPr>
                <w:color w:val="auto"/>
                <w:sz w:val="24"/>
                <w:szCs w:val="24"/>
              </w:rPr>
            </w:pPr>
            <w:r>
              <w:rPr>
                <w:color w:val="auto"/>
                <w:sz w:val="24"/>
                <w:szCs w:val="24"/>
              </w:rPr>
              <w:t>由表23</w:t>
            </w:r>
            <w:r>
              <w:rPr>
                <w:rFonts w:hint="eastAsia"/>
                <w:color w:val="auto"/>
                <w:sz w:val="24"/>
                <w:szCs w:val="24"/>
              </w:rPr>
              <w:t>~</w:t>
            </w:r>
            <w:r>
              <w:rPr>
                <w:color w:val="auto"/>
                <w:sz w:val="24"/>
                <w:szCs w:val="24"/>
              </w:rPr>
              <w:t>25估算结果可以看出，</w:t>
            </w:r>
            <w:r>
              <w:rPr>
                <w:rFonts w:hint="eastAsia"/>
                <w:color w:val="auto"/>
                <w:sz w:val="24"/>
                <w:szCs w:val="24"/>
              </w:rPr>
              <w:t>项目1#烟囱污染物颗粒物、SO</w:t>
            </w:r>
            <w:r>
              <w:rPr>
                <w:rFonts w:hint="eastAsia"/>
                <w:color w:val="auto"/>
                <w:sz w:val="24"/>
                <w:szCs w:val="24"/>
                <w:vertAlign w:val="subscript"/>
              </w:rPr>
              <w:t>2</w:t>
            </w:r>
            <w:r>
              <w:rPr>
                <w:rFonts w:hint="eastAsia"/>
                <w:color w:val="auto"/>
                <w:sz w:val="24"/>
                <w:szCs w:val="24"/>
              </w:rPr>
              <w:t>和NO</w:t>
            </w:r>
            <w:r>
              <w:rPr>
                <w:rFonts w:hint="eastAsia"/>
                <w:color w:val="auto"/>
                <w:sz w:val="24"/>
                <w:szCs w:val="24"/>
                <w:vertAlign w:val="subscript"/>
              </w:rPr>
              <w:t>X</w:t>
            </w:r>
            <w:r>
              <w:rPr>
                <w:color w:val="auto"/>
                <w:sz w:val="24"/>
                <w:szCs w:val="24"/>
              </w:rPr>
              <w:t>最大地面浓度</w:t>
            </w:r>
            <w:r>
              <w:rPr>
                <w:rFonts w:hint="eastAsia"/>
                <w:color w:val="auto"/>
                <w:sz w:val="24"/>
                <w:szCs w:val="24"/>
              </w:rPr>
              <w:t>分别为0.000216mg/m</w:t>
            </w:r>
            <w:r>
              <w:rPr>
                <w:rFonts w:hint="eastAsia"/>
                <w:color w:val="auto"/>
                <w:sz w:val="24"/>
                <w:szCs w:val="24"/>
                <w:vertAlign w:val="superscript"/>
              </w:rPr>
              <w:t>3</w:t>
            </w:r>
            <w:r>
              <w:rPr>
                <w:rFonts w:hint="eastAsia"/>
                <w:color w:val="auto"/>
                <w:sz w:val="24"/>
                <w:szCs w:val="24"/>
              </w:rPr>
              <w:t>、0.002571mg/m</w:t>
            </w:r>
            <w:r>
              <w:rPr>
                <w:rFonts w:hint="eastAsia"/>
                <w:color w:val="auto"/>
                <w:sz w:val="24"/>
                <w:szCs w:val="24"/>
                <w:vertAlign w:val="superscript"/>
              </w:rPr>
              <w:t>3</w:t>
            </w:r>
            <w:r>
              <w:rPr>
                <w:rFonts w:hint="eastAsia"/>
                <w:color w:val="auto"/>
                <w:sz w:val="24"/>
                <w:szCs w:val="24"/>
              </w:rPr>
              <w:t>和0.01154mg/m</w:t>
            </w:r>
            <w:r>
              <w:rPr>
                <w:rFonts w:hint="eastAsia"/>
                <w:color w:val="auto"/>
                <w:sz w:val="24"/>
                <w:szCs w:val="24"/>
                <w:vertAlign w:val="superscript"/>
              </w:rPr>
              <w:t>3</w:t>
            </w:r>
            <w:r>
              <w:rPr>
                <w:rFonts w:hint="eastAsia"/>
                <w:color w:val="auto"/>
                <w:sz w:val="24"/>
                <w:szCs w:val="24"/>
              </w:rPr>
              <w:t>，对应占标率分别为0.05%、0.51%和4.62%；2#烟囱污染物颗粒物、SO</w:t>
            </w:r>
            <w:r>
              <w:rPr>
                <w:rFonts w:hint="eastAsia"/>
                <w:color w:val="auto"/>
                <w:sz w:val="24"/>
                <w:szCs w:val="24"/>
                <w:vertAlign w:val="subscript"/>
              </w:rPr>
              <w:t>2</w:t>
            </w:r>
            <w:r>
              <w:rPr>
                <w:rFonts w:hint="eastAsia"/>
                <w:color w:val="auto"/>
                <w:sz w:val="24"/>
                <w:szCs w:val="24"/>
              </w:rPr>
              <w:t>和NO</w:t>
            </w:r>
            <w:r>
              <w:rPr>
                <w:rFonts w:hint="eastAsia"/>
                <w:color w:val="auto"/>
                <w:sz w:val="24"/>
                <w:szCs w:val="24"/>
                <w:vertAlign w:val="subscript"/>
              </w:rPr>
              <w:t>X</w:t>
            </w:r>
            <w:r>
              <w:rPr>
                <w:color w:val="auto"/>
                <w:sz w:val="24"/>
                <w:szCs w:val="24"/>
              </w:rPr>
              <w:t>最大地面浓度</w:t>
            </w:r>
            <w:r>
              <w:rPr>
                <w:rFonts w:hint="eastAsia"/>
                <w:color w:val="auto"/>
                <w:sz w:val="24"/>
                <w:szCs w:val="24"/>
              </w:rPr>
              <w:t>分别为0.000165mg/m</w:t>
            </w:r>
            <w:r>
              <w:rPr>
                <w:rFonts w:hint="eastAsia"/>
                <w:color w:val="auto"/>
                <w:sz w:val="24"/>
                <w:szCs w:val="24"/>
                <w:vertAlign w:val="superscript"/>
              </w:rPr>
              <w:t>3</w:t>
            </w:r>
            <w:r>
              <w:rPr>
                <w:rFonts w:hint="eastAsia"/>
                <w:color w:val="auto"/>
                <w:sz w:val="24"/>
                <w:szCs w:val="24"/>
              </w:rPr>
              <w:t>、0.002328mg/m</w:t>
            </w:r>
            <w:r>
              <w:rPr>
                <w:rFonts w:hint="eastAsia"/>
                <w:color w:val="auto"/>
                <w:sz w:val="24"/>
                <w:szCs w:val="24"/>
                <w:vertAlign w:val="superscript"/>
              </w:rPr>
              <w:t>3</w:t>
            </w:r>
            <w:r>
              <w:rPr>
                <w:rFonts w:hint="eastAsia"/>
                <w:color w:val="auto"/>
                <w:sz w:val="24"/>
                <w:szCs w:val="24"/>
              </w:rPr>
              <w:t>和0.009893mg/m</w:t>
            </w:r>
            <w:r>
              <w:rPr>
                <w:rFonts w:hint="eastAsia"/>
                <w:color w:val="auto"/>
                <w:sz w:val="24"/>
                <w:szCs w:val="24"/>
                <w:vertAlign w:val="superscript"/>
              </w:rPr>
              <w:t>3</w:t>
            </w:r>
            <w:r>
              <w:rPr>
                <w:rFonts w:hint="eastAsia"/>
                <w:color w:val="auto"/>
                <w:sz w:val="24"/>
                <w:szCs w:val="24"/>
              </w:rPr>
              <w:t>，对应占标率分别为0.04%、0.49%和3.96%；3#烟囱污染物颗粒物、SO</w:t>
            </w:r>
            <w:r>
              <w:rPr>
                <w:rFonts w:hint="eastAsia"/>
                <w:color w:val="auto"/>
                <w:sz w:val="24"/>
                <w:szCs w:val="24"/>
                <w:vertAlign w:val="subscript"/>
              </w:rPr>
              <w:t>2</w:t>
            </w:r>
            <w:r>
              <w:rPr>
                <w:rFonts w:hint="eastAsia"/>
                <w:color w:val="auto"/>
                <w:sz w:val="24"/>
                <w:szCs w:val="24"/>
              </w:rPr>
              <w:t>和NO</w:t>
            </w:r>
            <w:r>
              <w:rPr>
                <w:rFonts w:hint="eastAsia"/>
                <w:color w:val="auto"/>
                <w:sz w:val="24"/>
                <w:szCs w:val="24"/>
                <w:vertAlign w:val="subscript"/>
              </w:rPr>
              <w:t>X</w:t>
            </w:r>
            <w:r>
              <w:rPr>
                <w:color w:val="auto"/>
                <w:sz w:val="24"/>
                <w:szCs w:val="24"/>
              </w:rPr>
              <w:t>最大地面浓度</w:t>
            </w:r>
            <w:r>
              <w:rPr>
                <w:rFonts w:hint="eastAsia"/>
                <w:color w:val="auto"/>
                <w:sz w:val="24"/>
                <w:szCs w:val="24"/>
              </w:rPr>
              <w:t>分别为0.000823mg/m</w:t>
            </w:r>
            <w:r>
              <w:rPr>
                <w:rFonts w:hint="eastAsia"/>
                <w:color w:val="auto"/>
                <w:sz w:val="24"/>
                <w:szCs w:val="24"/>
                <w:vertAlign w:val="superscript"/>
              </w:rPr>
              <w:t>3</w:t>
            </w:r>
            <w:r>
              <w:rPr>
                <w:rFonts w:hint="eastAsia"/>
                <w:color w:val="auto"/>
                <w:sz w:val="24"/>
                <w:szCs w:val="24"/>
              </w:rPr>
              <w:t>、0.00335mg/m</w:t>
            </w:r>
            <w:r>
              <w:rPr>
                <w:rFonts w:hint="eastAsia"/>
                <w:color w:val="auto"/>
                <w:sz w:val="24"/>
                <w:szCs w:val="24"/>
                <w:vertAlign w:val="superscript"/>
              </w:rPr>
              <w:t>3</w:t>
            </w:r>
            <w:r>
              <w:rPr>
                <w:rFonts w:hint="eastAsia"/>
                <w:color w:val="auto"/>
                <w:sz w:val="24"/>
                <w:szCs w:val="24"/>
              </w:rPr>
              <w:t>和0.014</w:t>
            </w:r>
            <w:r>
              <w:rPr>
                <w:color w:val="auto"/>
                <w:sz w:val="24"/>
                <w:szCs w:val="24"/>
              </w:rPr>
              <w:t>14</w:t>
            </w:r>
            <w:r>
              <w:rPr>
                <w:rFonts w:hint="eastAsia"/>
                <w:color w:val="auto"/>
                <w:sz w:val="24"/>
                <w:szCs w:val="24"/>
              </w:rPr>
              <w:t>mg/m</w:t>
            </w:r>
            <w:r>
              <w:rPr>
                <w:rFonts w:hint="eastAsia"/>
                <w:color w:val="auto"/>
                <w:sz w:val="24"/>
                <w:szCs w:val="24"/>
                <w:vertAlign w:val="superscript"/>
              </w:rPr>
              <w:t>3</w:t>
            </w:r>
            <w:r>
              <w:rPr>
                <w:rFonts w:hint="eastAsia"/>
                <w:color w:val="auto"/>
                <w:sz w:val="24"/>
                <w:szCs w:val="24"/>
              </w:rPr>
              <w:t>，对应占标率分别为0.18%、0.67%和5.</w:t>
            </w:r>
            <w:r>
              <w:rPr>
                <w:color w:val="auto"/>
                <w:sz w:val="24"/>
                <w:szCs w:val="24"/>
              </w:rPr>
              <w:t>66</w:t>
            </w:r>
            <w:r>
              <w:rPr>
                <w:rFonts w:hint="eastAsia"/>
                <w:color w:val="auto"/>
                <w:sz w:val="24"/>
                <w:szCs w:val="24"/>
              </w:rPr>
              <w:t>%，颗粒物、SO</w:t>
            </w:r>
            <w:r>
              <w:rPr>
                <w:rFonts w:hint="eastAsia"/>
                <w:color w:val="auto"/>
                <w:sz w:val="24"/>
                <w:szCs w:val="24"/>
                <w:vertAlign w:val="subscript"/>
              </w:rPr>
              <w:t>2</w:t>
            </w:r>
            <w:r>
              <w:rPr>
                <w:rFonts w:hint="eastAsia"/>
                <w:color w:val="auto"/>
                <w:sz w:val="24"/>
                <w:szCs w:val="24"/>
              </w:rPr>
              <w:t>和NO</w:t>
            </w:r>
            <w:r>
              <w:rPr>
                <w:rFonts w:hint="eastAsia"/>
                <w:color w:val="auto"/>
                <w:sz w:val="24"/>
                <w:szCs w:val="24"/>
                <w:vertAlign w:val="subscript"/>
              </w:rPr>
              <w:t>X</w:t>
            </w:r>
            <w:r>
              <w:rPr>
                <w:rFonts w:hint="eastAsia"/>
                <w:color w:val="auto"/>
                <w:sz w:val="24"/>
                <w:szCs w:val="24"/>
              </w:rPr>
              <w:t>最大地面浓度</w:t>
            </w:r>
            <w:r>
              <w:rPr>
                <w:color w:val="auto"/>
                <w:sz w:val="24"/>
                <w:szCs w:val="24"/>
              </w:rPr>
              <w:t>均未超过</w:t>
            </w:r>
            <w:r>
              <w:rPr>
                <w:rFonts w:hint="eastAsia"/>
                <w:color w:val="auto"/>
                <w:sz w:val="24"/>
                <w:szCs w:val="24"/>
              </w:rPr>
              <w:t>《环境空气质量标准》（GB3095-2012）二级标准限值，对周围环境空气影响较小。</w:t>
            </w:r>
          </w:p>
          <w:p>
            <w:pPr>
              <w:spacing w:line="360" w:lineRule="auto"/>
              <w:ind w:firstLine="480" w:firstLineChars="200"/>
              <w:rPr>
                <w:color w:val="auto"/>
                <w:sz w:val="24"/>
                <w:szCs w:val="24"/>
              </w:rPr>
            </w:pPr>
            <w:r>
              <w:rPr>
                <w:rFonts w:hint="eastAsia"/>
                <w:color w:val="auto"/>
                <w:sz w:val="24"/>
                <w:szCs w:val="24"/>
              </w:rPr>
              <w:t>1#、2#、3#烟囱污染物NH</w:t>
            </w:r>
            <w:r>
              <w:rPr>
                <w:rFonts w:hint="eastAsia"/>
                <w:color w:val="auto"/>
                <w:sz w:val="24"/>
                <w:szCs w:val="24"/>
                <w:vertAlign w:val="subscript"/>
              </w:rPr>
              <w:t>3</w:t>
            </w:r>
            <w:r>
              <w:rPr>
                <w:rFonts w:hint="eastAsia"/>
                <w:color w:val="auto"/>
                <w:sz w:val="24"/>
                <w:szCs w:val="24"/>
              </w:rPr>
              <w:t>最大地面浓度分别为0.000164mg/m</w:t>
            </w:r>
            <w:r>
              <w:rPr>
                <w:rFonts w:hint="eastAsia"/>
                <w:color w:val="auto"/>
                <w:sz w:val="24"/>
                <w:szCs w:val="24"/>
                <w:vertAlign w:val="superscript"/>
              </w:rPr>
              <w:t>3</w:t>
            </w:r>
            <w:r>
              <w:rPr>
                <w:rFonts w:hint="eastAsia"/>
                <w:color w:val="auto"/>
                <w:sz w:val="24"/>
                <w:szCs w:val="24"/>
              </w:rPr>
              <w:t>、0.000137mg/m</w:t>
            </w:r>
            <w:r>
              <w:rPr>
                <w:rFonts w:hint="eastAsia"/>
                <w:color w:val="auto"/>
                <w:sz w:val="24"/>
                <w:szCs w:val="24"/>
                <w:vertAlign w:val="superscript"/>
              </w:rPr>
              <w:t>3</w:t>
            </w:r>
            <w:r>
              <w:rPr>
                <w:rFonts w:hint="eastAsia"/>
                <w:color w:val="auto"/>
                <w:sz w:val="24"/>
                <w:szCs w:val="24"/>
              </w:rPr>
              <w:t>和0.000181mg/m</w:t>
            </w:r>
            <w:r>
              <w:rPr>
                <w:rFonts w:hint="eastAsia"/>
                <w:color w:val="auto"/>
                <w:sz w:val="24"/>
                <w:szCs w:val="24"/>
                <w:vertAlign w:val="superscript"/>
              </w:rPr>
              <w:t>3</w:t>
            </w:r>
            <w:r>
              <w:rPr>
                <w:rFonts w:hint="eastAsia"/>
                <w:color w:val="auto"/>
                <w:sz w:val="24"/>
                <w:szCs w:val="24"/>
              </w:rPr>
              <w:t>，对应占标率分别为0.08%、0.07%和0.09%，最大地面浓度均未超过</w:t>
            </w:r>
            <w:r>
              <w:rPr>
                <w:color w:val="auto"/>
                <w:sz w:val="24"/>
                <w:szCs w:val="24"/>
              </w:rPr>
              <w:t>《工业企业设计卫生标准》（TJ36-79）居住区大气中有害物质的最高容许浓度限值，对周围环境空气影响小。</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2 \* GB2</w:instrText>
            </w:r>
            <w:r>
              <w:rPr>
                <w:color w:val="auto"/>
                <w:sz w:val="24"/>
                <w:szCs w:val="24"/>
              </w:rPr>
              <w:instrText xml:space="preserve"> </w:instrText>
            </w:r>
            <w:r>
              <w:rPr>
                <w:color w:val="auto"/>
                <w:sz w:val="24"/>
                <w:szCs w:val="24"/>
              </w:rPr>
              <w:fldChar w:fldCharType="separate"/>
            </w:r>
            <w:r>
              <w:rPr>
                <w:rFonts w:hint="eastAsia"/>
                <w:color w:val="auto"/>
                <w:sz w:val="24"/>
                <w:szCs w:val="24"/>
              </w:rPr>
              <w:t>⑵</w:t>
            </w:r>
            <w:r>
              <w:rPr>
                <w:color w:val="auto"/>
                <w:sz w:val="24"/>
                <w:szCs w:val="24"/>
              </w:rPr>
              <w:fldChar w:fldCharType="end"/>
            </w:r>
            <w:r>
              <w:rPr>
                <w:rFonts w:hint="eastAsia"/>
                <w:color w:val="auto"/>
                <w:sz w:val="24"/>
                <w:szCs w:val="24"/>
              </w:rPr>
              <w:t>无组织废气环境影响分析</w:t>
            </w:r>
          </w:p>
          <w:p>
            <w:pPr>
              <w:spacing w:line="360" w:lineRule="auto"/>
              <w:ind w:firstLine="480" w:firstLineChars="200"/>
              <w:rPr>
                <w:color w:val="auto"/>
                <w:sz w:val="24"/>
                <w:szCs w:val="24"/>
              </w:rPr>
            </w:pPr>
            <w:r>
              <w:rPr>
                <w:rFonts w:hint="eastAsia"/>
                <w:color w:val="auto"/>
                <w:sz w:val="24"/>
                <w:szCs w:val="24"/>
              </w:rPr>
              <w:t>项目无组织废气污染源估算结果见表2</w:t>
            </w:r>
            <w:r>
              <w:rPr>
                <w:color w:val="auto"/>
                <w:sz w:val="24"/>
                <w:szCs w:val="24"/>
              </w:rPr>
              <w:t>6</w:t>
            </w:r>
            <w:r>
              <w:rPr>
                <w:rFonts w:hint="eastAsia"/>
                <w:color w:val="auto"/>
                <w:sz w:val="24"/>
                <w:szCs w:val="24"/>
              </w:rPr>
              <w:t>。</w:t>
            </w:r>
          </w:p>
          <w:p>
            <w:pPr>
              <w:spacing w:line="360" w:lineRule="auto"/>
              <w:jc w:val="center"/>
              <w:rPr>
                <w:b/>
                <w:color w:val="auto"/>
                <w:sz w:val="24"/>
                <w:szCs w:val="24"/>
              </w:rPr>
            </w:pPr>
            <w:r>
              <w:rPr>
                <w:rFonts w:hint="eastAsia"/>
                <w:b/>
                <w:color w:val="auto"/>
                <w:sz w:val="24"/>
                <w:szCs w:val="24"/>
              </w:rPr>
              <w:t>表2</w:t>
            </w:r>
            <w:r>
              <w:rPr>
                <w:b/>
                <w:color w:val="auto"/>
                <w:sz w:val="24"/>
                <w:szCs w:val="24"/>
              </w:rPr>
              <w:t>6</w:t>
            </w:r>
            <w:r>
              <w:rPr>
                <w:rFonts w:hint="eastAsia"/>
                <w:b/>
                <w:color w:val="auto"/>
                <w:sz w:val="24"/>
                <w:szCs w:val="24"/>
              </w:rPr>
              <w:t xml:space="preserve">  无组织废气污染物估算结果一览表</w:t>
            </w:r>
          </w:p>
          <w:tbl>
            <w:tblPr>
              <w:tblStyle w:val="26"/>
              <w:tblW w:w="9061" w:type="dxa"/>
              <w:jc w:val="center"/>
              <w:tblInd w:w="0" w:type="dxa"/>
              <w:tblLayout w:type="fixed"/>
              <w:tblCellMar>
                <w:top w:w="0" w:type="dxa"/>
                <w:left w:w="108" w:type="dxa"/>
                <w:bottom w:w="0" w:type="dxa"/>
                <w:right w:w="108" w:type="dxa"/>
              </w:tblCellMar>
            </w:tblPr>
            <w:tblGrid>
              <w:gridCol w:w="630"/>
              <w:gridCol w:w="1553"/>
              <w:gridCol w:w="2014"/>
              <w:gridCol w:w="1425"/>
              <w:gridCol w:w="2014"/>
              <w:gridCol w:w="1425"/>
            </w:tblGrid>
            <w:tr>
              <w:tblPrEx>
                <w:tblLayout w:type="fixed"/>
                <w:tblCellMar>
                  <w:top w:w="0" w:type="dxa"/>
                  <w:left w:w="108" w:type="dxa"/>
                  <w:bottom w:w="0" w:type="dxa"/>
                  <w:right w:w="108" w:type="dxa"/>
                </w:tblCellMar>
              </w:tblPrEx>
              <w:trPr>
                <w:trHeight w:val="288" w:hRule="atLeast"/>
                <w:jc w:val="center"/>
              </w:trPr>
              <w:tc>
                <w:tcPr>
                  <w:tcW w:w="63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color w:val="auto"/>
                      <w:kern w:val="0"/>
                    </w:rPr>
                  </w:pPr>
                  <w:r>
                    <w:rPr>
                      <w:color w:val="auto"/>
                      <w:kern w:val="0"/>
                    </w:rPr>
                    <w:t>序号</w:t>
                  </w:r>
                </w:p>
              </w:tc>
              <w:tc>
                <w:tcPr>
                  <w:tcW w:w="1553" w:type="dxa"/>
                  <w:vMerge w:val="restart"/>
                  <w:tcBorders>
                    <w:top w:val="single" w:color="auto" w:sz="4" w:space="0"/>
                    <w:left w:val="nil"/>
                    <w:right w:val="single" w:color="auto" w:sz="4" w:space="0"/>
                  </w:tcBorders>
                  <w:shd w:val="clear" w:color="auto" w:fill="auto"/>
                  <w:vAlign w:val="center"/>
                </w:tcPr>
                <w:p>
                  <w:pPr>
                    <w:widowControl/>
                    <w:jc w:val="center"/>
                    <w:rPr>
                      <w:color w:val="auto"/>
                      <w:kern w:val="0"/>
                    </w:rPr>
                  </w:pPr>
                  <w:r>
                    <w:rPr>
                      <w:rFonts w:hint="eastAsia"/>
                      <w:color w:val="auto"/>
                      <w:kern w:val="0"/>
                    </w:rPr>
                    <w:t>下风向</w:t>
                  </w:r>
                  <w:r>
                    <w:rPr>
                      <w:color w:val="auto"/>
                      <w:kern w:val="0"/>
                    </w:rPr>
                    <w:t>距离(m)</w:t>
                  </w:r>
                </w:p>
              </w:tc>
              <w:tc>
                <w:tcPr>
                  <w:tcW w:w="343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rFonts w:hint="eastAsia"/>
                      <w:color w:val="auto"/>
                      <w:kern w:val="0"/>
                    </w:rPr>
                    <w:t>1#氨区</w:t>
                  </w:r>
                </w:p>
              </w:tc>
              <w:tc>
                <w:tcPr>
                  <w:tcW w:w="343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rFonts w:hint="eastAsia"/>
                      <w:color w:val="auto"/>
                      <w:kern w:val="0"/>
                    </w:rPr>
                    <w:t>2#氨区</w:t>
                  </w:r>
                </w:p>
              </w:tc>
            </w:tr>
            <w:tr>
              <w:tblPrEx>
                <w:tblLayout w:type="fixed"/>
                <w:tblCellMar>
                  <w:top w:w="0" w:type="dxa"/>
                  <w:left w:w="108" w:type="dxa"/>
                  <w:bottom w:w="0" w:type="dxa"/>
                  <w:right w:w="108" w:type="dxa"/>
                </w:tblCellMar>
              </w:tblPrEx>
              <w:trPr>
                <w:trHeight w:val="288" w:hRule="atLeast"/>
                <w:jc w:val="center"/>
              </w:trPr>
              <w:tc>
                <w:tcPr>
                  <w:tcW w:w="630" w:type="dxa"/>
                  <w:vMerge w:val="continue"/>
                  <w:tcBorders>
                    <w:left w:val="single" w:color="auto" w:sz="4" w:space="0"/>
                    <w:right w:val="single" w:color="auto" w:sz="4" w:space="0"/>
                  </w:tcBorders>
                  <w:shd w:val="clear" w:color="auto" w:fill="auto"/>
                  <w:vAlign w:val="center"/>
                </w:tcPr>
                <w:p>
                  <w:pPr>
                    <w:widowControl/>
                    <w:jc w:val="center"/>
                    <w:rPr>
                      <w:color w:val="auto"/>
                      <w:kern w:val="0"/>
                    </w:rPr>
                  </w:pPr>
                </w:p>
              </w:tc>
              <w:tc>
                <w:tcPr>
                  <w:tcW w:w="1553" w:type="dxa"/>
                  <w:vMerge w:val="continue"/>
                  <w:tcBorders>
                    <w:left w:val="nil"/>
                    <w:right w:val="single" w:color="auto" w:sz="4" w:space="0"/>
                  </w:tcBorders>
                  <w:shd w:val="clear" w:color="auto" w:fill="auto"/>
                  <w:vAlign w:val="center"/>
                </w:tcPr>
                <w:p>
                  <w:pPr>
                    <w:widowControl/>
                    <w:jc w:val="center"/>
                    <w:rPr>
                      <w:color w:val="auto"/>
                      <w:kern w:val="0"/>
                    </w:rPr>
                  </w:pPr>
                </w:p>
              </w:tc>
              <w:tc>
                <w:tcPr>
                  <w:tcW w:w="343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NH</w:t>
                  </w:r>
                  <w:r>
                    <w:rPr>
                      <w:color w:val="auto"/>
                      <w:kern w:val="0"/>
                      <w:vertAlign w:val="subscript"/>
                    </w:rPr>
                    <w:t>3</w:t>
                  </w:r>
                </w:p>
              </w:tc>
              <w:tc>
                <w:tcPr>
                  <w:tcW w:w="343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NH</w:t>
                  </w:r>
                  <w:r>
                    <w:rPr>
                      <w:color w:val="auto"/>
                      <w:kern w:val="0"/>
                      <w:vertAlign w:val="subscript"/>
                    </w:rPr>
                    <w:t>3</w:t>
                  </w:r>
                </w:p>
              </w:tc>
            </w:tr>
            <w:tr>
              <w:tblPrEx>
                <w:tblLayout w:type="fixed"/>
                <w:tblCellMar>
                  <w:top w:w="0" w:type="dxa"/>
                  <w:left w:w="108" w:type="dxa"/>
                  <w:bottom w:w="0" w:type="dxa"/>
                  <w:right w:w="108" w:type="dxa"/>
                </w:tblCellMar>
              </w:tblPrEx>
              <w:trPr>
                <w:trHeight w:val="288" w:hRule="atLeast"/>
                <w:jc w:val="center"/>
              </w:trPr>
              <w:tc>
                <w:tcPr>
                  <w:tcW w:w="630"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p>
              </w:tc>
              <w:tc>
                <w:tcPr>
                  <w:tcW w:w="1553" w:type="dxa"/>
                  <w:vMerge w:val="continue"/>
                  <w:tcBorders>
                    <w:left w:val="nil"/>
                    <w:bottom w:val="single" w:color="auto" w:sz="4" w:space="0"/>
                    <w:right w:val="single" w:color="auto" w:sz="4" w:space="0"/>
                  </w:tcBorders>
                  <w:shd w:val="clear" w:color="auto" w:fill="auto"/>
                  <w:vAlign w:val="center"/>
                </w:tcPr>
                <w:p>
                  <w:pPr>
                    <w:widowControl/>
                    <w:jc w:val="center"/>
                    <w:rPr>
                      <w:color w:val="auto"/>
                      <w:kern w:val="0"/>
                    </w:rPr>
                  </w:pPr>
                </w:p>
              </w:tc>
              <w:tc>
                <w:tcPr>
                  <w:tcW w:w="2014"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color w:val="auto"/>
                    </w:rPr>
                  </w:pPr>
                  <w:r>
                    <w:rPr>
                      <w:color w:val="auto"/>
                    </w:rPr>
                    <w:t>地面浓度（mg/m</w:t>
                  </w:r>
                  <w:r>
                    <w:rPr>
                      <w:color w:val="auto"/>
                      <w:vertAlign w:val="superscript"/>
                    </w:rPr>
                    <w:t>3</w:t>
                  </w:r>
                  <w:r>
                    <w:rPr>
                      <w:color w:val="auto"/>
                    </w:rPr>
                    <w:t>）</w:t>
                  </w:r>
                </w:p>
              </w:tc>
              <w:tc>
                <w:tcPr>
                  <w:tcW w:w="1425"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color w:val="auto"/>
                    </w:rPr>
                  </w:pPr>
                  <w:r>
                    <w:rPr>
                      <w:color w:val="auto"/>
                    </w:rPr>
                    <w:t>占标率（%）</w:t>
                  </w:r>
                </w:p>
              </w:tc>
              <w:tc>
                <w:tcPr>
                  <w:tcW w:w="2014"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color w:val="auto"/>
                    </w:rPr>
                  </w:pPr>
                  <w:r>
                    <w:rPr>
                      <w:color w:val="auto"/>
                    </w:rPr>
                    <w:t>地面浓度（mg/m</w:t>
                  </w:r>
                  <w:r>
                    <w:rPr>
                      <w:color w:val="auto"/>
                      <w:vertAlign w:val="superscript"/>
                    </w:rPr>
                    <w:t>3</w:t>
                  </w:r>
                  <w:r>
                    <w:rPr>
                      <w:color w:val="auto"/>
                    </w:rPr>
                    <w:t>）</w:t>
                  </w:r>
                </w:p>
              </w:tc>
              <w:tc>
                <w:tcPr>
                  <w:tcW w:w="1425"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color w:val="auto"/>
                    </w:rPr>
                  </w:pPr>
                  <w:r>
                    <w:rPr>
                      <w:color w:val="auto"/>
                    </w:rPr>
                    <w:t>占标率（%）</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0.002318</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1.16</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0.002318</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1.16</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46</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0.01707</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8.53</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0.01707</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8.53</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3</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0.01649</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8.24</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0.01649</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8.24</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4</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0.01485</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7.42</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0.01485</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7.42</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5</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300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0.01076</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5.38</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0.01076</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5.38</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6</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400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0.00765</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3.82</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0.00765</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3.82</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7</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500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0.005661</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2.83</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0.005661</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2.83</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8</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600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0.004341</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2.17</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0.004341</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2.17</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9</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700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0.00344</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1.72</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0.00344</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1.72</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10</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800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0.002829</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1.41</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0.002829</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1.41</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11</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900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0.002376</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1.19</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0.002376</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1.19</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12</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1000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0.002029</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1.01</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0.002029</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1.01</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13</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1100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0.001765</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0.88</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0.001765</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0.88</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14</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1200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0.001552</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0.78</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0.001552</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0.78</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15</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1300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0.001378</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0.69</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0.001378</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0.69</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16</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1400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0.001235</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0.62</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0.001235</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0.62</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17</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1500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0.001114</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0.56</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0.001114</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0.56</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18</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1600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0.001011</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0.51</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0.001011</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0.51</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19</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1700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0.0009236</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0.46</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0.0009236</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0.46</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20</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1800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0.0008476</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0.42</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0.0008476</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0.42</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21</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1900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0.0007815</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0.39</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0.0007815</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0.39</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22</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2000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0.0007235</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0.36</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0.0007235</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0.36</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23</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2100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0.0006749</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0.34</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0.0006749</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0.34</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24</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2200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0.0006316</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0.32</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0.0006316</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0.32</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25</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2300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0.0005928</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0.30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0.0005928</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0.30</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26</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2400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0.0005579</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0.28</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0.0005579</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0.28</w:t>
                  </w:r>
                </w:p>
              </w:tc>
            </w:tr>
            <w:tr>
              <w:tblPrEx>
                <w:tblLayout w:type="fixed"/>
                <w:tblCellMar>
                  <w:top w:w="0" w:type="dxa"/>
                  <w:left w:w="108" w:type="dxa"/>
                  <w:bottom w:w="0" w:type="dxa"/>
                  <w:right w:w="108" w:type="dxa"/>
                </w:tblCellMar>
              </w:tblPrEx>
              <w:trPr>
                <w:trHeight w:val="288" w:hRule="atLeast"/>
                <w:jc w:val="center"/>
              </w:trPr>
              <w:tc>
                <w:tcPr>
                  <w:tcW w:w="63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27</w:t>
                  </w:r>
                </w:p>
              </w:tc>
              <w:tc>
                <w:tcPr>
                  <w:tcW w:w="1553"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2500</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0.0005263</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0.26</w:t>
                  </w:r>
                </w:p>
              </w:tc>
              <w:tc>
                <w:tcPr>
                  <w:tcW w:w="2014" w:type="dxa"/>
                  <w:tcBorders>
                    <w:top w:val="nil"/>
                    <w:left w:val="nil"/>
                    <w:bottom w:val="single" w:color="auto" w:sz="4" w:space="0"/>
                    <w:right w:val="single" w:color="auto" w:sz="4" w:space="0"/>
                  </w:tcBorders>
                  <w:shd w:val="clear" w:color="auto" w:fill="auto"/>
                </w:tcPr>
                <w:p>
                  <w:pPr>
                    <w:jc w:val="center"/>
                    <w:rPr>
                      <w:color w:val="auto"/>
                    </w:rPr>
                  </w:pPr>
                  <w:r>
                    <w:rPr>
                      <w:color w:val="auto"/>
                    </w:rPr>
                    <w:t>0.0005263</w:t>
                  </w:r>
                </w:p>
              </w:tc>
              <w:tc>
                <w:tcPr>
                  <w:tcW w:w="1425" w:type="dxa"/>
                  <w:tcBorders>
                    <w:top w:val="nil"/>
                    <w:left w:val="nil"/>
                    <w:bottom w:val="single" w:color="auto" w:sz="4" w:space="0"/>
                    <w:right w:val="single" w:color="auto" w:sz="4" w:space="0"/>
                  </w:tcBorders>
                  <w:shd w:val="clear" w:color="auto" w:fill="auto"/>
                </w:tcPr>
                <w:p>
                  <w:pPr>
                    <w:jc w:val="center"/>
                    <w:rPr>
                      <w:color w:val="auto"/>
                    </w:rPr>
                  </w:pPr>
                  <w:r>
                    <w:rPr>
                      <w:color w:val="auto"/>
                    </w:rPr>
                    <w:t>0.26</w:t>
                  </w:r>
                </w:p>
              </w:tc>
            </w:tr>
            <w:tr>
              <w:tblPrEx>
                <w:tblLayout w:type="fixed"/>
                <w:tblCellMar>
                  <w:top w:w="0" w:type="dxa"/>
                  <w:left w:w="108" w:type="dxa"/>
                  <w:bottom w:w="0" w:type="dxa"/>
                  <w:right w:w="108" w:type="dxa"/>
                </w:tblCellMar>
              </w:tblPrEx>
              <w:trPr>
                <w:trHeight w:val="288" w:hRule="atLeast"/>
                <w:jc w:val="center"/>
              </w:trPr>
              <w:tc>
                <w:tcPr>
                  <w:tcW w:w="21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color w:val="auto"/>
                    </w:rPr>
                  </w:pPr>
                  <w:r>
                    <w:rPr>
                      <w:color w:val="auto"/>
                    </w:rPr>
                    <w:t>最大地面浓度</w:t>
                  </w:r>
                </w:p>
              </w:tc>
              <w:tc>
                <w:tcPr>
                  <w:tcW w:w="2014"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0.01707</w:t>
                  </w:r>
                </w:p>
              </w:tc>
              <w:tc>
                <w:tcPr>
                  <w:tcW w:w="1425"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8.53</w:t>
                  </w:r>
                </w:p>
              </w:tc>
              <w:tc>
                <w:tcPr>
                  <w:tcW w:w="2014"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0.01707</w:t>
                  </w:r>
                </w:p>
              </w:tc>
              <w:tc>
                <w:tcPr>
                  <w:tcW w:w="1425"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8.53</w:t>
                  </w:r>
                </w:p>
              </w:tc>
            </w:tr>
            <w:tr>
              <w:tblPrEx>
                <w:tblLayout w:type="fixed"/>
                <w:tblCellMar>
                  <w:top w:w="0" w:type="dxa"/>
                  <w:left w:w="108" w:type="dxa"/>
                  <w:bottom w:w="0" w:type="dxa"/>
                  <w:right w:w="108" w:type="dxa"/>
                </w:tblCellMar>
              </w:tblPrEx>
              <w:trPr>
                <w:trHeight w:val="288" w:hRule="atLeast"/>
                <w:jc w:val="center"/>
              </w:trPr>
              <w:tc>
                <w:tcPr>
                  <w:tcW w:w="21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color w:val="auto"/>
                    </w:rPr>
                  </w:pPr>
                  <w:r>
                    <w:rPr>
                      <w:color w:val="auto"/>
                    </w:rPr>
                    <w:t>出现距离（m）</w:t>
                  </w:r>
                </w:p>
              </w:tc>
              <w:tc>
                <w:tcPr>
                  <w:tcW w:w="68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46</w:t>
                  </w:r>
                </w:p>
              </w:tc>
            </w:tr>
            <w:tr>
              <w:tblPrEx>
                <w:tblLayout w:type="fixed"/>
                <w:tblCellMar>
                  <w:top w:w="0" w:type="dxa"/>
                  <w:left w:w="108" w:type="dxa"/>
                  <w:bottom w:w="0" w:type="dxa"/>
                  <w:right w:w="108" w:type="dxa"/>
                </w:tblCellMar>
              </w:tblPrEx>
              <w:trPr>
                <w:trHeight w:val="288" w:hRule="atLeast"/>
                <w:jc w:val="center"/>
              </w:trPr>
              <w:tc>
                <w:tcPr>
                  <w:tcW w:w="21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60"/>
                    <w:adjustRightInd w:val="0"/>
                    <w:snapToGrid w:val="0"/>
                    <w:rPr>
                      <w:color w:val="auto"/>
                    </w:rPr>
                  </w:pPr>
                  <w:r>
                    <w:rPr>
                      <w:color w:val="auto"/>
                    </w:rPr>
                    <w:t>标准限值</w:t>
                  </w:r>
                </w:p>
              </w:tc>
              <w:tc>
                <w:tcPr>
                  <w:tcW w:w="68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rFonts w:hint="eastAsia"/>
                      <w:color w:val="auto"/>
                      <w:kern w:val="0"/>
                    </w:rPr>
                    <w:t>0.2</w:t>
                  </w:r>
                </w:p>
              </w:tc>
            </w:tr>
            <w:tr>
              <w:tblPrEx>
                <w:tblLayout w:type="fixed"/>
                <w:tblCellMar>
                  <w:top w:w="0" w:type="dxa"/>
                  <w:left w:w="108" w:type="dxa"/>
                  <w:bottom w:w="0" w:type="dxa"/>
                  <w:right w:w="108" w:type="dxa"/>
                </w:tblCellMar>
              </w:tblPrEx>
              <w:trPr>
                <w:trHeight w:val="288" w:hRule="atLeast"/>
                <w:jc w:val="center"/>
              </w:trPr>
              <w:tc>
                <w:tcPr>
                  <w:tcW w:w="21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60"/>
                    <w:adjustRightInd w:val="0"/>
                    <w:snapToGrid w:val="0"/>
                    <w:rPr>
                      <w:color w:val="auto"/>
                    </w:rPr>
                  </w:pPr>
                  <w:r>
                    <w:rPr>
                      <w:color w:val="auto"/>
                    </w:rPr>
                    <w:t>超标率</w:t>
                  </w:r>
                </w:p>
              </w:tc>
              <w:tc>
                <w:tcPr>
                  <w:tcW w:w="2014"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rFonts w:hint="eastAsia"/>
                      <w:color w:val="auto"/>
                      <w:kern w:val="0"/>
                    </w:rPr>
                    <w:t>0</w:t>
                  </w:r>
                </w:p>
              </w:tc>
              <w:tc>
                <w:tcPr>
                  <w:tcW w:w="1425"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rFonts w:hint="eastAsia"/>
                      <w:color w:val="auto"/>
                      <w:kern w:val="0"/>
                    </w:rPr>
                    <w:t>0</w:t>
                  </w:r>
                </w:p>
              </w:tc>
              <w:tc>
                <w:tcPr>
                  <w:tcW w:w="2014"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rFonts w:hint="eastAsia"/>
                      <w:color w:val="auto"/>
                      <w:kern w:val="0"/>
                    </w:rPr>
                    <w:t>0</w:t>
                  </w:r>
                </w:p>
              </w:tc>
              <w:tc>
                <w:tcPr>
                  <w:tcW w:w="1425"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rFonts w:hint="eastAsia"/>
                      <w:color w:val="auto"/>
                      <w:kern w:val="0"/>
                    </w:rPr>
                    <w:t>0</w:t>
                  </w:r>
                </w:p>
              </w:tc>
            </w:tr>
            <w:tr>
              <w:tblPrEx>
                <w:tblLayout w:type="fixed"/>
                <w:tblCellMar>
                  <w:top w:w="0" w:type="dxa"/>
                  <w:left w:w="108" w:type="dxa"/>
                  <w:bottom w:w="0" w:type="dxa"/>
                  <w:right w:w="108" w:type="dxa"/>
                </w:tblCellMar>
              </w:tblPrEx>
              <w:trPr>
                <w:trHeight w:val="288" w:hRule="atLeast"/>
                <w:jc w:val="center"/>
              </w:trPr>
              <w:tc>
                <w:tcPr>
                  <w:tcW w:w="21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60"/>
                    <w:adjustRightInd w:val="0"/>
                    <w:snapToGrid w:val="0"/>
                    <w:rPr>
                      <w:color w:val="auto"/>
                    </w:rPr>
                  </w:pPr>
                  <w:r>
                    <w:rPr>
                      <w:color w:val="auto"/>
                    </w:rPr>
                    <w:t>最大超标倍数</w:t>
                  </w:r>
                </w:p>
              </w:tc>
              <w:tc>
                <w:tcPr>
                  <w:tcW w:w="343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rFonts w:hint="eastAsia"/>
                      <w:color w:val="auto"/>
                      <w:kern w:val="0"/>
                    </w:rPr>
                    <w:t>/</w:t>
                  </w:r>
                </w:p>
              </w:tc>
              <w:tc>
                <w:tcPr>
                  <w:tcW w:w="343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kern w:val="0"/>
                    </w:rPr>
                  </w:pPr>
                  <w:r>
                    <w:rPr>
                      <w:rFonts w:hint="eastAsia"/>
                      <w:color w:val="auto"/>
                      <w:kern w:val="0"/>
                    </w:rPr>
                    <w:t>/</w:t>
                  </w:r>
                </w:p>
              </w:tc>
            </w:tr>
          </w:tbl>
          <w:p>
            <w:pPr>
              <w:spacing w:line="360" w:lineRule="auto"/>
              <w:ind w:firstLine="480" w:firstLineChars="200"/>
              <w:rPr>
                <w:color w:val="auto"/>
                <w:sz w:val="24"/>
                <w:szCs w:val="24"/>
              </w:rPr>
            </w:pPr>
            <w:r>
              <w:rPr>
                <w:rFonts w:hint="eastAsia"/>
                <w:color w:val="auto"/>
                <w:sz w:val="24"/>
                <w:szCs w:val="24"/>
              </w:rPr>
              <w:t>由表2</w:t>
            </w:r>
            <w:r>
              <w:rPr>
                <w:color w:val="auto"/>
                <w:sz w:val="24"/>
                <w:szCs w:val="24"/>
              </w:rPr>
              <w:t>6</w:t>
            </w:r>
            <w:r>
              <w:rPr>
                <w:rFonts w:hint="eastAsia"/>
                <w:color w:val="auto"/>
                <w:sz w:val="24"/>
                <w:szCs w:val="24"/>
              </w:rPr>
              <w:t>估算结果可知，项目两个氨区无组织废气污染物NH</w:t>
            </w:r>
            <w:r>
              <w:rPr>
                <w:rFonts w:hint="eastAsia"/>
                <w:color w:val="auto"/>
                <w:sz w:val="24"/>
                <w:szCs w:val="24"/>
                <w:vertAlign w:val="subscript"/>
              </w:rPr>
              <w:t>3</w:t>
            </w:r>
            <w:r>
              <w:rPr>
                <w:rFonts w:hint="eastAsia"/>
                <w:color w:val="auto"/>
                <w:sz w:val="24"/>
                <w:szCs w:val="24"/>
              </w:rPr>
              <w:t>最大地面浓度均为0.01</w:t>
            </w:r>
            <w:r>
              <w:rPr>
                <w:color w:val="auto"/>
                <w:sz w:val="24"/>
                <w:szCs w:val="24"/>
              </w:rPr>
              <w:t>707</w:t>
            </w:r>
            <w:r>
              <w:rPr>
                <w:rFonts w:hint="eastAsia"/>
                <w:color w:val="auto"/>
                <w:sz w:val="24"/>
                <w:szCs w:val="24"/>
              </w:rPr>
              <w:t>mg/m</w:t>
            </w:r>
            <w:r>
              <w:rPr>
                <w:rFonts w:hint="eastAsia"/>
                <w:color w:val="auto"/>
                <w:sz w:val="24"/>
                <w:szCs w:val="24"/>
                <w:vertAlign w:val="superscript"/>
              </w:rPr>
              <w:t>3</w:t>
            </w:r>
            <w:r>
              <w:rPr>
                <w:rFonts w:hint="eastAsia"/>
                <w:color w:val="auto"/>
                <w:sz w:val="24"/>
                <w:szCs w:val="24"/>
              </w:rPr>
              <w:t>，对应占标率为</w:t>
            </w:r>
            <w:r>
              <w:rPr>
                <w:color w:val="auto"/>
                <w:sz w:val="24"/>
                <w:szCs w:val="24"/>
              </w:rPr>
              <w:t>8.53</w:t>
            </w:r>
            <w:r>
              <w:rPr>
                <w:rFonts w:hint="eastAsia"/>
                <w:color w:val="auto"/>
                <w:sz w:val="24"/>
                <w:szCs w:val="24"/>
              </w:rPr>
              <w:t>%，NH</w:t>
            </w:r>
            <w:r>
              <w:rPr>
                <w:rFonts w:hint="eastAsia"/>
                <w:color w:val="auto"/>
                <w:sz w:val="24"/>
                <w:szCs w:val="24"/>
                <w:vertAlign w:val="subscript"/>
              </w:rPr>
              <w:t>3</w:t>
            </w:r>
            <w:r>
              <w:rPr>
                <w:rFonts w:hint="eastAsia"/>
                <w:color w:val="auto"/>
                <w:sz w:val="24"/>
                <w:szCs w:val="24"/>
              </w:rPr>
              <w:t>地面浓度未超过</w:t>
            </w:r>
            <w:r>
              <w:rPr>
                <w:color w:val="auto"/>
                <w:sz w:val="24"/>
                <w:szCs w:val="24"/>
              </w:rPr>
              <w:t>《工业企业设计卫生标准》（TJ36-79）居住区大气中有害物质的最高容许浓度限值，对周围环境空气影响小。</w:t>
            </w:r>
          </w:p>
          <w:p>
            <w:pPr>
              <w:spacing w:line="360" w:lineRule="auto"/>
              <w:ind w:firstLine="480" w:firstLineChars="200"/>
              <w:rPr>
                <w:color w:val="auto"/>
                <w:sz w:val="24"/>
                <w:szCs w:val="24"/>
              </w:rPr>
            </w:pPr>
            <w:r>
              <w:rPr>
                <w:rFonts w:hint="eastAsia"/>
                <w:color w:val="auto"/>
                <w:sz w:val="24"/>
                <w:szCs w:val="24"/>
              </w:rPr>
              <w:t>3、</w:t>
            </w:r>
            <w:r>
              <w:rPr>
                <w:color w:val="auto"/>
                <w:sz w:val="24"/>
                <w:szCs w:val="24"/>
              </w:rPr>
              <w:t>环境防护距离</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1 \* GB2 </w:instrText>
            </w:r>
            <w:r>
              <w:rPr>
                <w:color w:val="auto"/>
                <w:sz w:val="24"/>
                <w:szCs w:val="24"/>
              </w:rPr>
              <w:fldChar w:fldCharType="separate"/>
            </w:r>
            <w:r>
              <w:rPr>
                <w:rFonts w:hint="eastAsia" w:ascii="宋体" w:hAnsi="宋体" w:cs="宋体"/>
                <w:color w:val="auto"/>
                <w:sz w:val="24"/>
                <w:szCs w:val="24"/>
              </w:rPr>
              <w:t>⑴</w:t>
            </w:r>
            <w:r>
              <w:rPr>
                <w:color w:val="auto"/>
                <w:sz w:val="24"/>
                <w:szCs w:val="24"/>
              </w:rPr>
              <w:fldChar w:fldCharType="end"/>
            </w:r>
            <w:r>
              <w:rPr>
                <w:color w:val="auto"/>
                <w:sz w:val="24"/>
                <w:szCs w:val="24"/>
              </w:rPr>
              <w:t>大气环境防护距离</w:t>
            </w:r>
          </w:p>
          <w:p>
            <w:pPr>
              <w:spacing w:line="360" w:lineRule="auto"/>
              <w:ind w:firstLine="480" w:firstLineChars="200"/>
              <w:rPr>
                <w:color w:val="auto"/>
                <w:sz w:val="24"/>
                <w:szCs w:val="24"/>
              </w:rPr>
            </w:pPr>
            <w:r>
              <w:rPr>
                <w:color w:val="auto"/>
                <w:sz w:val="24"/>
                <w:szCs w:val="24"/>
              </w:rPr>
              <w:t>本项目无组织排放源主要为</w:t>
            </w:r>
            <w:r>
              <w:rPr>
                <w:rFonts w:hint="eastAsia"/>
                <w:color w:val="auto"/>
                <w:sz w:val="24"/>
                <w:szCs w:val="24"/>
              </w:rPr>
              <w:t>氨区无组织排放的氨气</w:t>
            </w:r>
            <w:r>
              <w:rPr>
                <w:color w:val="auto"/>
                <w:sz w:val="24"/>
                <w:szCs w:val="24"/>
              </w:rPr>
              <w:t>，主要污染因子为NH</w:t>
            </w:r>
            <w:r>
              <w:rPr>
                <w:color w:val="auto"/>
                <w:sz w:val="24"/>
                <w:szCs w:val="24"/>
                <w:vertAlign w:val="subscript"/>
              </w:rPr>
              <w:t>3</w:t>
            </w:r>
            <w:r>
              <w:rPr>
                <w:rFonts w:hint="eastAsia"/>
                <w:color w:val="auto"/>
                <w:sz w:val="24"/>
                <w:szCs w:val="24"/>
              </w:rPr>
              <w:t>。</w:t>
            </w:r>
            <w:r>
              <w:rPr>
                <w:color w:val="auto"/>
                <w:sz w:val="24"/>
                <w:szCs w:val="24"/>
              </w:rPr>
              <w:t>根据《环境影响评价技术导则大气环境》(HJ2.2-2008)，采用导则推荐模式中的大气环境防护距离计算模式，对</w:t>
            </w:r>
            <w:r>
              <w:rPr>
                <w:rFonts w:hint="eastAsia"/>
                <w:color w:val="auto"/>
                <w:sz w:val="24"/>
                <w:szCs w:val="24"/>
              </w:rPr>
              <w:t>两个氨区</w:t>
            </w:r>
            <w:r>
              <w:rPr>
                <w:color w:val="auto"/>
                <w:sz w:val="24"/>
                <w:szCs w:val="24"/>
              </w:rPr>
              <w:t>分别进行计算。计算结果见表</w:t>
            </w:r>
            <w:r>
              <w:rPr>
                <w:rFonts w:hint="eastAsia"/>
                <w:color w:val="auto"/>
                <w:sz w:val="24"/>
                <w:szCs w:val="24"/>
              </w:rPr>
              <w:t>2</w:t>
            </w:r>
            <w:r>
              <w:rPr>
                <w:color w:val="auto"/>
                <w:sz w:val="24"/>
                <w:szCs w:val="24"/>
              </w:rPr>
              <w:t>7。</w:t>
            </w:r>
          </w:p>
          <w:p>
            <w:pPr>
              <w:spacing w:line="360" w:lineRule="auto"/>
              <w:ind w:firstLine="480" w:firstLineChars="200"/>
              <w:rPr>
                <w:color w:val="auto"/>
                <w:sz w:val="24"/>
                <w:szCs w:val="24"/>
              </w:rPr>
            </w:pPr>
          </w:p>
          <w:p>
            <w:pPr>
              <w:spacing w:line="360" w:lineRule="auto"/>
              <w:ind w:firstLine="480" w:firstLineChars="200"/>
              <w:rPr>
                <w:color w:val="auto"/>
                <w:sz w:val="24"/>
                <w:szCs w:val="24"/>
              </w:rPr>
            </w:pPr>
          </w:p>
          <w:p>
            <w:pPr>
              <w:spacing w:line="360" w:lineRule="auto"/>
              <w:jc w:val="center"/>
              <w:rPr>
                <w:rFonts w:eastAsia="黑体"/>
                <w:color w:val="auto"/>
                <w:sz w:val="24"/>
                <w:szCs w:val="24"/>
              </w:rPr>
            </w:pPr>
          </w:p>
          <w:p>
            <w:pPr>
              <w:spacing w:line="360" w:lineRule="auto"/>
              <w:jc w:val="center"/>
              <w:rPr>
                <w:rFonts w:eastAsia="黑体"/>
                <w:color w:val="auto"/>
                <w:sz w:val="24"/>
                <w:szCs w:val="24"/>
              </w:rPr>
            </w:pPr>
            <w:r>
              <w:rPr>
                <w:rFonts w:eastAsia="黑体"/>
                <w:color w:val="auto"/>
                <w:sz w:val="24"/>
                <w:szCs w:val="24"/>
              </w:rPr>
              <w:t>表</w:t>
            </w:r>
            <w:r>
              <w:rPr>
                <w:rFonts w:hint="eastAsia" w:eastAsia="黑体"/>
                <w:color w:val="auto"/>
                <w:sz w:val="24"/>
                <w:szCs w:val="24"/>
              </w:rPr>
              <w:t>2</w:t>
            </w:r>
            <w:r>
              <w:rPr>
                <w:rFonts w:eastAsia="黑体"/>
                <w:color w:val="auto"/>
                <w:sz w:val="24"/>
                <w:szCs w:val="24"/>
              </w:rPr>
              <w:t>7</w:t>
            </w:r>
            <w:r>
              <w:rPr>
                <w:rFonts w:hint="eastAsia" w:eastAsia="黑体"/>
                <w:color w:val="auto"/>
                <w:sz w:val="24"/>
                <w:szCs w:val="24"/>
              </w:rPr>
              <w:t xml:space="preserve">  </w:t>
            </w:r>
            <w:r>
              <w:rPr>
                <w:rFonts w:eastAsia="黑体"/>
                <w:color w:val="auto"/>
                <w:sz w:val="24"/>
                <w:szCs w:val="24"/>
              </w:rPr>
              <w:t>大气环境防护距离计算结果一览表</w:t>
            </w:r>
          </w:p>
          <w:tbl>
            <w:tblPr>
              <w:tblStyle w:val="26"/>
              <w:tblW w:w="90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1138"/>
              <w:gridCol w:w="1421"/>
              <w:gridCol w:w="1421"/>
              <w:gridCol w:w="1548"/>
              <w:gridCol w:w="15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污染源</w:t>
                  </w:r>
                </w:p>
              </w:tc>
              <w:tc>
                <w:tcPr>
                  <w:tcW w:w="1138"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污染物</w:t>
                  </w:r>
                </w:p>
              </w:tc>
              <w:tc>
                <w:tcPr>
                  <w:tcW w:w="1421"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面源面积</w:t>
                  </w:r>
                </w:p>
                <w:p>
                  <w:pPr>
                    <w:jc w:val="center"/>
                    <w:rPr>
                      <w:color w:val="auto"/>
                    </w:rPr>
                  </w:pPr>
                  <w:r>
                    <w:rPr>
                      <w:color w:val="auto"/>
                    </w:rPr>
                    <w:t>（m</w:t>
                  </w:r>
                  <w:r>
                    <w:rPr>
                      <w:color w:val="auto"/>
                      <w:vertAlign w:val="superscript"/>
                    </w:rPr>
                    <w:t>2</w:t>
                  </w:r>
                  <w:r>
                    <w:rPr>
                      <w:color w:val="auto"/>
                    </w:rPr>
                    <w:t>）</w:t>
                  </w:r>
                </w:p>
              </w:tc>
              <w:tc>
                <w:tcPr>
                  <w:tcW w:w="1421"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排放速率</w:t>
                  </w:r>
                </w:p>
                <w:p>
                  <w:pPr>
                    <w:jc w:val="center"/>
                    <w:rPr>
                      <w:color w:val="auto"/>
                    </w:rPr>
                  </w:pPr>
                  <w:r>
                    <w:rPr>
                      <w:color w:val="auto"/>
                    </w:rPr>
                    <w:t>(kg/h)</w:t>
                  </w:r>
                </w:p>
              </w:tc>
              <w:tc>
                <w:tcPr>
                  <w:tcW w:w="1548"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计算值(m)</w:t>
                  </w:r>
                </w:p>
              </w:tc>
              <w:tc>
                <w:tcPr>
                  <w:tcW w:w="1548"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选用值(m)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1#氨气</w:t>
                  </w:r>
                </w:p>
              </w:tc>
              <w:tc>
                <w:tcPr>
                  <w:tcW w:w="1138"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NH</w:t>
                  </w:r>
                  <w:r>
                    <w:rPr>
                      <w:color w:val="auto"/>
                      <w:vertAlign w:val="subscript"/>
                    </w:rPr>
                    <w:t>3</w:t>
                  </w:r>
                </w:p>
              </w:tc>
              <w:tc>
                <w:tcPr>
                  <w:tcW w:w="1421"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70</w:t>
                  </w:r>
                </w:p>
              </w:tc>
              <w:tc>
                <w:tcPr>
                  <w:tcW w:w="1421"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0.0116</w:t>
                  </w:r>
                </w:p>
              </w:tc>
              <w:tc>
                <w:tcPr>
                  <w:tcW w:w="1548"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无超标点</w:t>
                  </w:r>
                </w:p>
              </w:tc>
              <w:tc>
                <w:tcPr>
                  <w:tcW w:w="1548"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2#氨区</w:t>
                  </w:r>
                </w:p>
              </w:tc>
              <w:tc>
                <w:tcPr>
                  <w:tcW w:w="1138"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NH</w:t>
                  </w:r>
                  <w:r>
                    <w:rPr>
                      <w:color w:val="auto"/>
                      <w:vertAlign w:val="subscript"/>
                    </w:rPr>
                    <w:t>3</w:t>
                  </w:r>
                </w:p>
              </w:tc>
              <w:tc>
                <w:tcPr>
                  <w:tcW w:w="1421"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70</w:t>
                  </w:r>
                </w:p>
              </w:tc>
              <w:tc>
                <w:tcPr>
                  <w:tcW w:w="1421"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0.0116</w:t>
                  </w:r>
                </w:p>
              </w:tc>
              <w:tc>
                <w:tcPr>
                  <w:tcW w:w="1548"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无超标点</w:t>
                  </w:r>
                </w:p>
              </w:tc>
              <w:tc>
                <w:tcPr>
                  <w:tcW w:w="1548"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w:t>
                  </w:r>
                </w:p>
              </w:tc>
            </w:tr>
          </w:tbl>
          <w:p>
            <w:pPr>
              <w:spacing w:line="360" w:lineRule="auto"/>
              <w:ind w:firstLine="480" w:firstLineChars="200"/>
              <w:rPr>
                <w:color w:val="auto"/>
                <w:sz w:val="24"/>
                <w:szCs w:val="24"/>
              </w:rPr>
            </w:pPr>
            <w:r>
              <w:rPr>
                <w:color w:val="auto"/>
                <w:sz w:val="24"/>
                <w:szCs w:val="24"/>
              </w:rPr>
              <w:t>由表</w:t>
            </w:r>
            <w:r>
              <w:rPr>
                <w:rFonts w:hint="eastAsia"/>
                <w:color w:val="auto"/>
                <w:sz w:val="24"/>
                <w:szCs w:val="24"/>
              </w:rPr>
              <w:t>2</w:t>
            </w:r>
            <w:r>
              <w:rPr>
                <w:color w:val="auto"/>
                <w:sz w:val="24"/>
                <w:szCs w:val="24"/>
              </w:rPr>
              <w:t>7计算结果可以看出，无组织排放污染物NH</w:t>
            </w:r>
            <w:r>
              <w:rPr>
                <w:color w:val="auto"/>
                <w:sz w:val="24"/>
                <w:szCs w:val="24"/>
                <w:vertAlign w:val="subscript"/>
              </w:rPr>
              <w:t>3</w:t>
            </w:r>
            <w:r>
              <w:rPr>
                <w:color w:val="auto"/>
                <w:sz w:val="24"/>
                <w:szCs w:val="24"/>
              </w:rPr>
              <w:t>的大气环境防护距离计算结果均无超标点，因此，本项目无需设置大气环境防护距离。</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2 \* GB2 </w:instrText>
            </w:r>
            <w:r>
              <w:rPr>
                <w:color w:val="auto"/>
                <w:sz w:val="24"/>
                <w:szCs w:val="24"/>
              </w:rPr>
              <w:fldChar w:fldCharType="separate"/>
            </w:r>
            <w:r>
              <w:rPr>
                <w:rFonts w:hint="eastAsia" w:ascii="宋体" w:hAnsi="宋体" w:cs="宋体"/>
                <w:color w:val="auto"/>
                <w:sz w:val="24"/>
                <w:szCs w:val="24"/>
              </w:rPr>
              <w:t>⑵</w:t>
            </w:r>
            <w:r>
              <w:rPr>
                <w:color w:val="auto"/>
                <w:sz w:val="24"/>
                <w:szCs w:val="24"/>
              </w:rPr>
              <w:fldChar w:fldCharType="end"/>
            </w:r>
            <w:r>
              <w:rPr>
                <w:color w:val="auto"/>
                <w:sz w:val="24"/>
                <w:szCs w:val="24"/>
              </w:rPr>
              <w:t>卫生防护距离</w:t>
            </w:r>
          </w:p>
          <w:p>
            <w:pPr>
              <w:spacing w:line="360" w:lineRule="auto"/>
              <w:ind w:firstLine="480" w:firstLineChars="200"/>
              <w:rPr>
                <w:color w:val="auto"/>
                <w:sz w:val="24"/>
                <w:szCs w:val="24"/>
              </w:rPr>
            </w:pPr>
            <w:r>
              <w:rPr>
                <w:color w:val="auto"/>
                <w:sz w:val="24"/>
                <w:szCs w:val="24"/>
              </w:rPr>
              <w:t>根据《制定地方大气污染物排放标准的技术方法》（GB/T3480-91）规定，无组织排放源所在的生产单元与居住区之间的卫生防护距离按下式计算：</w:t>
            </w:r>
          </w:p>
          <w:p>
            <w:pPr>
              <w:spacing w:line="360" w:lineRule="auto"/>
              <w:jc w:val="center"/>
              <w:rPr>
                <w:i/>
                <w:iCs/>
                <w:color w:val="auto"/>
                <w:sz w:val="24"/>
                <w:szCs w:val="24"/>
              </w:rPr>
            </w:pPr>
            <w:r>
              <w:rPr>
                <w:color w:val="auto"/>
              </w:rPr>
              <w:drawing>
                <wp:inline distT="0" distB="0" distL="0" distR="0">
                  <wp:extent cx="2001520" cy="370840"/>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a:xfrm>
                            <a:off x="0" y="0"/>
                            <a:ext cx="2001520" cy="370840"/>
                          </a:xfrm>
                          <a:prstGeom prst="rect">
                            <a:avLst/>
                          </a:prstGeom>
                          <a:noFill/>
                          <a:ln w="9525">
                            <a:noFill/>
                            <a:miter lim="800000"/>
                            <a:headEnd/>
                            <a:tailEnd/>
                          </a:ln>
                        </pic:spPr>
                      </pic:pic>
                    </a:graphicData>
                  </a:graphic>
                </wp:inline>
              </w:drawing>
            </w:r>
          </w:p>
          <w:p>
            <w:pPr>
              <w:spacing w:line="360" w:lineRule="auto"/>
              <w:rPr>
                <w:color w:val="auto"/>
                <w:sz w:val="24"/>
                <w:szCs w:val="24"/>
              </w:rPr>
            </w:pPr>
            <w:r>
              <w:rPr>
                <w:color w:val="auto"/>
                <w:sz w:val="24"/>
                <w:szCs w:val="24"/>
              </w:rPr>
              <w:t>式中:</w:t>
            </w:r>
          </w:p>
          <w:p>
            <w:pPr>
              <w:spacing w:line="360" w:lineRule="auto"/>
              <w:ind w:firstLine="480" w:firstLineChars="200"/>
              <w:rPr>
                <w:color w:val="auto"/>
                <w:sz w:val="24"/>
                <w:szCs w:val="24"/>
              </w:rPr>
            </w:pPr>
            <w:r>
              <w:rPr>
                <w:i/>
                <w:iCs/>
                <w:color w:val="auto"/>
                <w:sz w:val="24"/>
                <w:szCs w:val="24"/>
              </w:rPr>
              <w:t>C</w:t>
            </w:r>
            <w:r>
              <w:rPr>
                <w:i/>
                <w:iCs/>
                <w:color w:val="auto"/>
                <w:sz w:val="24"/>
                <w:szCs w:val="24"/>
                <w:vertAlign w:val="subscript"/>
              </w:rPr>
              <w:t>m</w:t>
            </w:r>
            <w:r>
              <w:rPr>
                <w:color w:val="auto"/>
                <w:sz w:val="24"/>
                <w:szCs w:val="24"/>
              </w:rPr>
              <w:t>——标准浓度限值，mg/m</w:t>
            </w:r>
            <w:r>
              <w:rPr>
                <w:color w:val="auto"/>
                <w:sz w:val="24"/>
                <w:szCs w:val="24"/>
                <w:vertAlign w:val="superscript"/>
              </w:rPr>
              <w:t>3</w:t>
            </w:r>
            <w:r>
              <w:rPr>
                <w:color w:val="auto"/>
                <w:sz w:val="24"/>
                <w:szCs w:val="24"/>
              </w:rPr>
              <w:t>；</w:t>
            </w:r>
          </w:p>
          <w:p>
            <w:pPr>
              <w:spacing w:line="360" w:lineRule="auto"/>
              <w:ind w:firstLine="480" w:firstLineChars="200"/>
              <w:rPr>
                <w:color w:val="auto"/>
                <w:sz w:val="24"/>
                <w:szCs w:val="24"/>
              </w:rPr>
            </w:pPr>
            <w:r>
              <w:rPr>
                <w:i/>
                <w:iCs/>
                <w:color w:val="auto"/>
                <w:sz w:val="24"/>
                <w:szCs w:val="24"/>
              </w:rPr>
              <w:t>L</w:t>
            </w:r>
            <w:r>
              <w:rPr>
                <w:color w:val="auto"/>
                <w:sz w:val="24"/>
                <w:szCs w:val="24"/>
              </w:rPr>
              <w:t>——工业企业所需卫生防护距离，m；</w:t>
            </w:r>
          </w:p>
          <w:p>
            <w:pPr>
              <w:spacing w:line="360" w:lineRule="auto"/>
              <w:ind w:firstLine="480" w:firstLineChars="200"/>
              <w:rPr>
                <w:color w:val="auto"/>
                <w:sz w:val="24"/>
                <w:szCs w:val="24"/>
              </w:rPr>
            </w:pPr>
            <w:r>
              <w:rPr>
                <w:i/>
                <w:iCs/>
                <w:color w:val="auto"/>
                <w:sz w:val="24"/>
                <w:szCs w:val="24"/>
              </w:rPr>
              <w:t>r</w:t>
            </w:r>
            <w:r>
              <w:rPr>
                <w:color w:val="auto"/>
                <w:sz w:val="24"/>
                <w:szCs w:val="24"/>
              </w:rPr>
              <w:t>——有害气体无组织排放源所在生产单元的等效半径，m。根据该生产单元占地面积S（m</w:t>
            </w:r>
            <w:r>
              <w:rPr>
                <w:color w:val="auto"/>
                <w:sz w:val="24"/>
                <w:szCs w:val="24"/>
                <w:vertAlign w:val="superscript"/>
              </w:rPr>
              <w:t>2</w:t>
            </w:r>
            <w:r>
              <w:rPr>
                <w:color w:val="auto"/>
                <w:sz w:val="24"/>
                <w:szCs w:val="24"/>
              </w:rPr>
              <w:t>）计算，r=（S/π）</w:t>
            </w:r>
            <w:r>
              <w:rPr>
                <w:color w:val="auto"/>
                <w:sz w:val="24"/>
                <w:szCs w:val="24"/>
                <w:vertAlign w:val="superscript"/>
              </w:rPr>
              <w:t>0.5</w:t>
            </w:r>
            <w:r>
              <w:rPr>
                <w:color w:val="auto"/>
                <w:sz w:val="24"/>
                <w:szCs w:val="24"/>
              </w:rPr>
              <w:t>；</w:t>
            </w:r>
          </w:p>
          <w:p>
            <w:pPr>
              <w:spacing w:line="360" w:lineRule="auto"/>
              <w:ind w:firstLine="480" w:firstLineChars="200"/>
              <w:rPr>
                <w:color w:val="auto"/>
                <w:sz w:val="24"/>
                <w:szCs w:val="24"/>
              </w:rPr>
            </w:pPr>
            <w:r>
              <w:rPr>
                <w:i/>
                <w:iCs/>
                <w:color w:val="auto"/>
                <w:sz w:val="24"/>
                <w:szCs w:val="24"/>
              </w:rPr>
              <w:t>A，B，C，D</w:t>
            </w:r>
            <w:r>
              <w:rPr>
                <w:color w:val="auto"/>
                <w:sz w:val="24"/>
                <w:szCs w:val="24"/>
              </w:rPr>
              <w:t>——卫生防护距离计算系数，无因次，根据工业企业所在地区近五年平均风速及工业企业大气污染源构成的类别确定；</w:t>
            </w:r>
          </w:p>
          <w:p>
            <w:pPr>
              <w:spacing w:line="360" w:lineRule="auto"/>
              <w:ind w:firstLine="480" w:firstLineChars="200"/>
              <w:rPr>
                <w:color w:val="auto"/>
                <w:sz w:val="24"/>
                <w:szCs w:val="24"/>
              </w:rPr>
            </w:pPr>
            <w:r>
              <w:rPr>
                <w:i/>
                <w:iCs/>
                <w:color w:val="auto"/>
                <w:sz w:val="24"/>
                <w:szCs w:val="24"/>
              </w:rPr>
              <w:t>Q</w:t>
            </w:r>
            <w:r>
              <w:rPr>
                <w:i/>
                <w:iCs/>
                <w:color w:val="auto"/>
                <w:sz w:val="24"/>
                <w:szCs w:val="24"/>
                <w:vertAlign w:val="subscript"/>
              </w:rPr>
              <w:t>c</w:t>
            </w:r>
            <w:r>
              <w:rPr>
                <w:color w:val="auto"/>
                <w:sz w:val="24"/>
                <w:szCs w:val="24"/>
              </w:rPr>
              <w:t>——工业企业有害气体无组织排放量可以达到的控制水平，kg/h。</w:t>
            </w:r>
          </w:p>
          <w:p>
            <w:pPr>
              <w:spacing w:line="360" w:lineRule="auto"/>
              <w:ind w:firstLine="480" w:firstLineChars="200"/>
              <w:rPr>
                <w:color w:val="auto"/>
                <w:sz w:val="24"/>
                <w:szCs w:val="24"/>
              </w:rPr>
            </w:pPr>
            <w:r>
              <w:rPr>
                <w:color w:val="auto"/>
                <w:sz w:val="24"/>
                <w:szCs w:val="24"/>
              </w:rPr>
              <w:t>对项目</w:t>
            </w:r>
            <w:r>
              <w:rPr>
                <w:rFonts w:hint="eastAsia"/>
                <w:color w:val="auto"/>
                <w:sz w:val="24"/>
                <w:szCs w:val="24"/>
              </w:rPr>
              <w:t>氨区</w:t>
            </w:r>
            <w:r>
              <w:rPr>
                <w:color w:val="auto"/>
                <w:sz w:val="24"/>
                <w:szCs w:val="24"/>
              </w:rPr>
              <w:t>与居民区之间的卫生防护距离分别进行计算，计算结果见表</w:t>
            </w:r>
            <w:r>
              <w:rPr>
                <w:rFonts w:hint="eastAsia"/>
                <w:color w:val="auto"/>
                <w:sz w:val="24"/>
                <w:szCs w:val="24"/>
              </w:rPr>
              <w:t>2</w:t>
            </w:r>
            <w:r>
              <w:rPr>
                <w:color w:val="auto"/>
                <w:sz w:val="24"/>
                <w:szCs w:val="24"/>
              </w:rPr>
              <w:t>8。</w:t>
            </w:r>
          </w:p>
          <w:p>
            <w:pPr>
              <w:spacing w:line="360" w:lineRule="auto"/>
              <w:jc w:val="center"/>
              <w:rPr>
                <w:rFonts w:eastAsia="黑体"/>
                <w:color w:val="auto"/>
                <w:sz w:val="24"/>
                <w:szCs w:val="24"/>
              </w:rPr>
            </w:pPr>
            <w:r>
              <w:rPr>
                <w:rFonts w:eastAsia="黑体"/>
                <w:color w:val="auto"/>
                <w:sz w:val="24"/>
                <w:szCs w:val="24"/>
              </w:rPr>
              <w:t>表</w:t>
            </w:r>
            <w:r>
              <w:rPr>
                <w:rFonts w:hint="eastAsia" w:eastAsia="黑体"/>
                <w:color w:val="auto"/>
                <w:sz w:val="24"/>
                <w:szCs w:val="24"/>
              </w:rPr>
              <w:t>2</w:t>
            </w:r>
            <w:r>
              <w:rPr>
                <w:rFonts w:eastAsia="黑体"/>
                <w:color w:val="auto"/>
                <w:sz w:val="24"/>
                <w:szCs w:val="24"/>
              </w:rPr>
              <w:t>8项目卫生防护距离计算结果一览表</w:t>
            </w:r>
          </w:p>
          <w:tbl>
            <w:tblPr>
              <w:tblStyle w:val="26"/>
              <w:tblW w:w="90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15"/>
              <w:gridCol w:w="1035"/>
              <w:gridCol w:w="1245"/>
              <w:gridCol w:w="979"/>
              <w:gridCol w:w="636"/>
              <w:gridCol w:w="837"/>
              <w:gridCol w:w="705"/>
              <w:gridCol w:w="705"/>
              <w:gridCol w:w="1035"/>
              <w:gridCol w:w="5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1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污染源</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污染物</w:t>
                  </w:r>
                </w:p>
              </w:tc>
              <w:tc>
                <w:tcPr>
                  <w:tcW w:w="1245"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24"/>
                      <w:szCs w:val="24"/>
                    </w:rPr>
                  </w:pPr>
                  <w:r>
                    <w:rPr>
                      <w:color w:val="auto"/>
                      <w:sz w:val="24"/>
                      <w:szCs w:val="24"/>
                    </w:rPr>
                    <w:t>C</w:t>
                  </w:r>
                  <w:r>
                    <w:rPr>
                      <w:color w:val="auto"/>
                      <w:sz w:val="24"/>
                      <w:szCs w:val="24"/>
                      <w:vertAlign w:val="subscript"/>
                    </w:rPr>
                    <w:t>m</w:t>
                  </w:r>
                </w:p>
                <w:p>
                  <w:pPr>
                    <w:jc w:val="center"/>
                    <w:rPr>
                      <w:color w:val="auto"/>
                      <w:sz w:val="24"/>
                      <w:szCs w:val="24"/>
                      <w:vertAlign w:val="subscript"/>
                    </w:rPr>
                  </w:pPr>
                  <w:r>
                    <w:rPr>
                      <w:color w:val="auto"/>
                      <w:sz w:val="24"/>
                      <w:szCs w:val="24"/>
                    </w:rPr>
                    <w:t>(mg/m</w:t>
                  </w:r>
                  <w:r>
                    <w:rPr>
                      <w:color w:val="auto"/>
                      <w:sz w:val="24"/>
                      <w:szCs w:val="24"/>
                      <w:vertAlign w:val="superscript"/>
                    </w:rPr>
                    <w:t>3</w:t>
                  </w:r>
                  <w:r>
                    <w:rPr>
                      <w:color w:val="auto"/>
                      <w:sz w:val="24"/>
                      <w:szCs w:val="24"/>
                    </w:rPr>
                    <w:t>)</w:t>
                  </w:r>
                </w:p>
              </w:tc>
              <w:tc>
                <w:tcPr>
                  <w:tcW w:w="979"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24"/>
                      <w:szCs w:val="24"/>
                    </w:rPr>
                  </w:pPr>
                  <w:r>
                    <w:rPr>
                      <w:color w:val="auto"/>
                      <w:sz w:val="24"/>
                      <w:szCs w:val="24"/>
                    </w:rPr>
                    <w:t>Q</w:t>
                  </w:r>
                  <w:r>
                    <w:rPr>
                      <w:color w:val="auto"/>
                      <w:sz w:val="24"/>
                      <w:szCs w:val="24"/>
                      <w:vertAlign w:val="subscript"/>
                    </w:rPr>
                    <w:t>c</w:t>
                  </w:r>
                </w:p>
                <w:p>
                  <w:pPr>
                    <w:jc w:val="center"/>
                    <w:rPr>
                      <w:color w:val="auto"/>
                    </w:rPr>
                  </w:pPr>
                  <w:r>
                    <w:rPr>
                      <w:color w:val="auto"/>
                      <w:sz w:val="24"/>
                      <w:szCs w:val="24"/>
                    </w:rPr>
                    <w:t>(kg/h)</w:t>
                  </w:r>
                </w:p>
              </w:tc>
              <w:tc>
                <w:tcPr>
                  <w:tcW w:w="636"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A</w:t>
                  </w:r>
                </w:p>
              </w:tc>
              <w:tc>
                <w:tcPr>
                  <w:tcW w:w="837"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B</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C</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D</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计算值</w:t>
                  </w:r>
                </w:p>
                <w:p>
                  <w:pPr>
                    <w:jc w:val="center"/>
                    <w:rPr>
                      <w:color w:val="auto"/>
                    </w:rPr>
                  </w:pPr>
                  <w:r>
                    <w:rPr>
                      <w:color w:val="auto"/>
                    </w:rPr>
                    <w:t>(m)</w:t>
                  </w:r>
                </w:p>
              </w:tc>
              <w:tc>
                <w:tcPr>
                  <w:tcW w:w="569"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L</w:t>
                  </w:r>
                </w:p>
                <w:p>
                  <w:pPr>
                    <w:jc w:val="center"/>
                    <w:rPr>
                      <w:color w:val="auto"/>
                    </w:rPr>
                  </w:pPr>
                  <w:r>
                    <w:rPr>
                      <w:color w:val="auto"/>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1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1#氨区</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NH</w:t>
                  </w:r>
                  <w:r>
                    <w:rPr>
                      <w:color w:val="auto"/>
                      <w:vertAlign w:val="subscript"/>
                    </w:rPr>
                    <w:t>3</w:t>
                  </w:r>
                </w:p>
              </w:tc>
              <w:tc>
                <w:tcPr>
                  <w:tcW w:w="124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0.2</w:t>
                  </w:r>
                </w:p>
              </w:tc>
              <w:tc>
                <w:tcPr>
                  <w:tcW w:w="979"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0.0116</w:t>
                  </w:r>
                </w:p>
              </w:tc>
              <w:tc>
                <w:tcPr>
                  <w:tcW w:w="636"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4</w:t>
                  </w:r>
                  <w:r>
                    <w:rPr>
                      <w:rFonts w:hint="eastAsia"/>
                      <w:color w:val="auto"/>
                    </w:rPr>
                    <w:t>70</w:t>
                  </w:r>
                </w:p>
              </w:tc>
              <w:tc>
                <w:tcPr>
                  <w:tcW w:w="837"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0.021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1.85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0.84</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14.345</w:t>
                  </w:r>
                </w:p>
              </w:tc>
              <w:tc>
                <w:tcPr>
                  <w:tcW w:w="569"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1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2#氨区</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NH</w:t>
                  </w:r>
                  <w:r>
                    <w:rPr>
                      <w:color w:val="auto"/>
                      <w:vertAlign w:val="subscript"/>
                    </w:rPr>
                    <w:t>3</w:t>
                  </w:r>
                </w:p>
              </w:tc>
              <w:tc>
                <w:tcPr>
                  <w:tcW w:w="124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0.2</w:t>
                  </w:r>
                </w:p>
              </w:tc>
              <w:tc>
                <w:tcPr>
                  <w:tcW w:w="979"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0.0116</w:t>
                  </w:r>
                </w:p>
              </w:tc>
              <w:tc>
                <w:tcPr>
                  <w:tcW w:w="636"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4</w:t>
                  </w:r>
                  <w:r>
                    <w:rPr>
                      <w:rFonts w:hint="eastAsia"/>
                      <w:color w:val="auto"/>
                    </w:rPr>
                    <w:t>70</w:t>
                  </w:r>
                </w:p>
              </w:tc>
              <w:tc>
                <w:tcPr>
                  <w:tcW w:w="837"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0.021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1.85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0.84</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14.345</w:t>
                  </w:r>
                </w:p>
              </w:tc>
              <w:tc>
                <w:tcPr>
                  <w:tcW w:w="569"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color w:val="auto"/>
                    </w:rPr>
                    <w:t>50</w:t>
                  </w:r>
                </w:p>
              </w:tc>
            </w:tr>
          </w:tbl>
          <w:p>
            <w:pPr>
              <w:spacing w:line="360" w:lineRule="auto"/>
              <w:ind w:firstLine="480" w:firstLineChars="200"/>
              <w:rPr>
                <w:color w:val="auto"/>
                <w:sz w:val="24"/>
                <w:szCs w:val="24"/>
              </w:rPr>
            </w:pPr>
            <w:r>
              <w:rPr>
                <w:color w:val="auto"/>
                <w:sz w:val="24"/>
                <w:szCs w:val="24"/>
              </w:rPr>
              <w:t>经计算，本项目的卫生防护距离为14.345</w:t>
            </w:r>
            <w:r>
              <w:rPr>
                <w:rFonts w:hint="eastAsia"/>
                <w:color w:val="auto"/>
                <w:sz w:val="24"/>
                <w:szCs w:val="24"/>
              </w:rPr>
              <w:t>m。根据《制定地方大气污染物排放标准的技术方法》（GB/T3840-91）7.3“卫生防护距离在100m以内时，级差为50m”，确定项目卫生防护距离为50m</w:t>
            </w:r>
            <w:r>
              <w:rPr>
                <w:color w:val="auto"/>
                <w:sz w:val="24"/>
                <w:szCs w:val="24"/>
              </w:rPr>
              <w:t>。</w:t>
            </w:r>
            <w:r>
              <w:rPr>
                <w:rFonts w:hint="eastAsia"/>
                <w:color w:val="auto"/>
                <w:sz w:val="24"/>
                <w:szCs w:val="24"/>
              </w:rPr>
              <w:t>项目卫生防护距离包络线图见附图6。</w:t>
            </w:r>
            <w:r>
              <w:rPr>
                <w:color w:val="auto"/>
                <w:sz w:val="24"/>
                <w:szCs w:val="24"/>
              </w:rPr>
              <w:t>项目最近的敏感点为厂区</w:t>
            </w:r>
            <w:r>
              <w:rPr>
                <w:rFonts w:hint="eastAsia"/>
                <w:color w:val="auto"/>
                <w:sz w:val="24"/>
                <w:szCs w:val="24"/>
              </w:rPr>
              <w:t>南</w:t>
            </w:r>
            <w:r>
              <w:rPr>
                <w:color w:val="auto"/>
                <w:sz w:val="24"/>
                <w:szCs w:val="24"/>
              </w:rPr>
              <w:t>侧的</w:t>
            </w:r>
            <w:r>
              <w:rPr>
                <w:rFonts w:hint="eastAsia"/>
                <w:color w:val="auto"/>
                <w:sz w:val="24"/>
                <w:szCs w:val="24"/>
              </w:rPr>
              <w:t>下峪口村</w:t>
            </w:r>
            <w:r>
              <w:rPr>
                <w:color w:val="auto"/>
                <w:sz w:val="24"/>
                <w:szCs w:val="24"/>
              </w:rPr>
              <w:t>，距本项目</w:t>
            </w:r>
            <w:r>
              <w:rPr>
                <w:rFonts w:hint="eastAsia"/>
                <w:color w:val="auto"/>
                <w:sz w:val="24"/>
                <w:szCs w:val="24"/>
              </w:rPr>
              <w:t>厂界1</w:t>
            </w:r>
            <w:r>
              <w:rPr>
                <w:color w:val="auto"/>
                <w:sz w:val="24"/>
                <w:szCs w:val="24"/>
              </w:rPr>
              <w:t>0m，</w:t>
            </w:r>
            <w:r>
              <w:rPr>
                <w:rFonts w:hint="eastAsia"/>
                <w:color w:val="auto"/>
                <w:sz w:val="24"/>
                <w:szCs w:val="24"/>
              </w:rPr>
              <w:t>根据韩城市人民政府韩城龙门工业园区环境治理项目规划控制范围内居民搬迁工作方案，下峪口村属规划搬迁敏感点，列入第一批规划搬迁范围，目前入户测量评估工作已完成。</w:t>
            </w:r>
          </w:p>
          <w:p>
            <w:pPr>
              <w:spacing w:line="360" w:lineRule="auto"/>
              <w:rPr>
                <w:b/>
                <w:bCs/>
                <w:color w:val="auto"/>
                <w:sz w:val="24"/>
                <w:szCs w:val="24"/>
              </w:rPr>
            </w:pPr>
            <w:r>
              <w:rPr>
                <w:b/>
                <w:bCs/>
                <w:color w:val="auto"/>
                <w:sz w:val="24"/>
                <w:szCs w:val="24"/>
              </w:rPr>
              <w:t>二、地表水环境影响分析</w:t>
            </w:r>
          </w:p>
          <w:p>
            <w:pPr>
              <w:spacing w:line="360" w:lineRule="auto"/>
              <w:ind w:firstLine="480"/>
              <w:rPr>
                <w:color w:val="auto"/>
                <w:sz w:val="24"/>
                <w:szCs w:val="24"/>
              </w:rPr>
            </w:pPr>
            <w:r>
              <w:rPr>
                <w:rFonts w:hint="eastAsia"/>
                <w:color w:val="auto"/>
                <w:sz w:val="24"/>
                <w:szCs w:val="24"/>
              </w:rPr>
              <w:t>本项目运营期无废水排放。</w:t>
            </w:r>
          </w:p>
          <w:p>
            <w:pPr>
              <w:spacing w:line="360" w:lineRule="auto"/>
              <w:rPr>
                <w:b/>
                <w:bCs/>
                <w:color w:val="auto"/>
                <w:sz w:val="24"/>
                <w:szCs w:val="24"/>
              </w:rPr>
            </w:pPr>
            <w:r>
              <w:rPr>
                <w:rFonts w:hint="eastAsia"/>
                <w:b/>
                <w:bCs/>
                <w:color w:val="auto"/>
                <w:sz w:val="24"/>
                <w:szCs w:val="24"/>
              </w:rPr>
              <w:t>三</w:t>
            </w:r>
            <w:r>
              <w:rPr>
                <w:b/>
                <w:bCs/>
                <w:color w:val="auto"/>
                <w:sz w:val="24"/>
                <w:szCs w:val="24"/>
              </w:rPr>
              <w:t>、声环境影响分析</w:t>
            </w:r>
          </w:p>
          <w:p>
            <w:pPr>
              <w:spacing w:line="360" w:lineRule="auto"/>
              <w:ind w:firstLine="480" w:firstLineChars="200"/>
              <w:rPr>
                <w:color w:val="auto"/>
                <w:kern w:val="0"/>
                <w:sz w:val="24"/>
                <w:szCs w:val="24"/>
              </w:rPr>
            </w:pPr>
            <w:r>
              <w:rPr>
                <w:color w:val="auto"/>
                <w:kern w:val="0"/>
                <w:sz w:val="24"/>
                <w:szCs w:val="24"/>
              </w:rPr>
              <w:fldChar w:fldCharType="begin"/>
            </w:r>
            <w:r>
              <w:rPr>
                <w:color w:val="auto"/>
                <w:kern w:val="0"/>
                <w:sz w:val="24"/>
                <w:szCs w:val="24"/>
              </w:rPr>
              <w:instrText xml:space="preserve"> = 1 \* GB2 </w:instrText>
            </w:r>
            <w:r>
              <w:rPr>
                <w:color w:val="auto"/>
                <w:kern w:val="0"/>
                <w:sz w:val="24"/>
                <w:szCs w:val="24"/>
              </w:rPr>
              <w:fldChar w:fldCharType="separate"/>
            </w:r>
            <w:r>
              <w:rPr>
                <w:rFonts w:hint="eastAsia" w:ascii="宋体" w:hAnsi="宋体" w:cs="宋体"/>
                <w:color w:val="auto"/>
                <w:kern w:val="0"/>
                <w:sz w:val="24"/>
                <w:szCs w:val="24"/>
              </w:rPr>
              <w:t>⑴</w:t>
            </w:r>
            <w:r>
              <w:rPr>
                <w:color w:val="auto"/>
                <w:kern w:val="0"/>
                <w:sz w:val="24"/>
                <w:szCs w:val="24"/>
              </w:rPr>
              <w:fldChar w:fldCharType="end"/>
            </w:r>
            <w:r>
              <w:rPr>
                <w:color w:val="auto"/>
                <w:kern w:val="0"/>
                <w:sz w:val="24"/>
                <w:szCs w:val="24"/>
              </w:rPr>
              <w:t>噪声源</w:t>
            </w:r>
          </w:p>
          <w:p>
            <w:pPr>
              <w:spacing w:line="360" w:lineRule="auto"/>
              <w:ind w:firstLine="480" w:firstLineChars="200"/>
              <w:rPr>
                <w:color w:val="auto"/>
                <w:kern w:val="0"/>
                <w:sz w:val="24"/>
                <w:szCs w:val="24"/>
              </w:rPr>
            </w:pPr>
            <w:r>
              <w:rPr>
                <w:color w:val="auto"/>
                <w:kern w:val="0"/>
                <w:sz w:val="24"/>
                <w:szCs w:val="24"/>
              </w:rPr>
              <w:t>项目主要噪声源及源强见表</w:t>
            </w:r>
            <w:r>
              <w:rPr>
                <w:rFonts w:hint="eastAsia"/>
                <w:color w:val="auto"/>
                <w:kern w:val="0"/>
                <w:sz w:val="24"/>
                <w:szCs w:val="24"/>
              </w:rPr>
              <w:t>19</w:t>
            </w:r>
            <w:r>
              <w:rPr>
                <w:color w:val="auto"/>
                <w:kern w:val="0"/>
                <w:sz w:val="24"/>
                <w:szCs w:val="24"/>
              </w:rPr>
              <w:t>。</w:t>
            </w:r>
          </w:p>
          <w:p>
            <w:pPr>
              <w:spacing w:line="360" w:lineRule="auto"/>
              <w:ind w:firstLine="480" w:firstLineChars="200"/>
              <w:rPr>
                <w:color w:val="auto"/>
                <w:sz w:val="24"/>
                <w:szCs w:val="24"/>
              </w:rPr>
            </w:pPr>
            <w:r>
              <w:rPr>
                <w:color w:val="auto"/>
                <w:kern w:val="0"/>
                <w:sz w:val="24"/>
                <w:szCs w:val="24"/>
              </w:rPr>
              <w:fldChar w:fldCharType="begin"/>
            </w:r>
            <w:r>
              <w:rPr>
                <w:color w:val="auto"/>
                <w:kern w:val="0"/>
                <w:sz w:val="24"/>
                <w:szCs w:val="24"/>
              </w:rPr>
              <w:instrText xml:space="preserve"> = 2 \* GB2 </w:instrText>
            </w:r>
            <w:r>
              <w:rPr>
                <w:color w:val="auto"/>
                <w:kern w:val="0"/>
                <w:sz w:val="24"/>
                <w:szCs w:val="24"/>
              </w:rPr>
              <w:fldChar w:fldCharType="separate"/>
            </w:r>
            <w:r>
              <w:rPr>
                <w:rFonts w:hint="eastAsia" w:ascii="宋体" w:hAnsi="宋体" w:cs="宋体"/>
                <w:color w:val="auto"/>
                <w:kern w:val="0"/>
                <w:sz w:val="24"/>
                <w:szCs w:val="24"/>
              </w:rPr>
              <w:t>⑵</w:t>
            </w:r>
            <w:r>
              <w:rPr>
                <w:color w:val="auto"/>
                <w:kern w:val="0"/>
                <w:sz w:val="24"/>
                <w:szCs w:val="24"/>
              </w:rPr>
              <w:fldChar w:fldCharType="end"/>
            </w:r>
            <w:r>
              <w:rPr>
                <w:rFonts w:hint="eastAsia"/>
                <w:color w:val="auto"/>
                <w:sz w:val="24"/>
                <w:szCs w:val="24"/>
              </w:rPr>
              <w:t>影响分析</w:t>
            </w:r>
          </w:p>
          <w:p>
            <w:pPr>
              <w:spacing w:line="360" w:lineRule="auto"/>
              <w:ind w:firstLine="480" w:firstLineChars="200"/>
              <w:rPr>
                <w:color w:val="auto"/>
                <w:kern w:val="0"/>
                <w:sz w:val="24"/>
                <w:szCs w:val="24"/>
              </w:rPr>
            </w:pPr>
            <w:r>
              <w:rPr>
                <w:rFonts w:hint="eastAsia"/>
                <w:color w:val="auto"/>
                <w:sz w:val="24"/>
                <w:szCs w:val="24"/>
              </w:rPr>
              <w:t>项目主要噪声源为脱硫塔和氨区清水泵、卸氨泵和喷氨泵、空压机等，此类设备均已安装且正式运行，根据建设单位于2018年3月29日自行监测报告，南厂界3个噪声监测点位噪声监测值昼间为59.2dB（A）~59.5 dB（A）、夜间为47.0dB（A）~48.5 dB（A），</w:t>
            </w:r>
            <w:r>
              <w:rPr>
                <w:color w:val="auto"/>
                <w:kern w:val="0"/>
                <w:sz w:val="24"/>
                <w:szCs w:val="24"/>
              </w:rPr>
              <w:t>满足《工业企业厂界环境噪声排放标准》（GB12348-2008）</w:t>
            </w:r>
            <w:r>
              <w:rPr>
                <w:rFonts w:hint="eastAsia"/>
                <w:color w:val="auto"/>
                <w:kern w:val="0"/>
                <w:sz w:val="24"/>
                <w:szCs w:val="24"/>
              </w:rPr>
              <w:t>3</w:t>
            </w:r>
            <w:r>
              <w:rPr>
                <w:color w:val="auto"/>
                <w:kern w:val="0"/>
                <w:sz w:val="24"/>
                <w:szCs w:val="24"/>
              </w:rPr>
              <w:t>类标准要求。项目建设不改变当地的声环境质量，对声环境影响较小。</w:t>
            </w:r>
          </w:p>
          <w:p>
            <w:pPr>
              <w:spacing w:line="360" w:lineRule="auto"/>
              <w:rPr>
                <w:b/>
                <w:bCs/>
                <w:color w:val="auto"/>
                <w:sz w:val="24"/>
                <w:szCs w:val="24"/>
              </w:rPr>
            </w:pPr>
            <w:r>
              <w:rPr>
                <w:b/>
                <w:bCs/>
                <w:color w:val="auto"/>
                <w:sz w:val="24"/>
                <w:szCs w:val="24"/>
              </w:rPr>
              <w:t>五、固体废物影响分析</w:t>
            </w:r>
          </w:p>
          <w:p>
            <w:pPr>
              <w:spacing w:line="360" w:lineRule="auto"/>
              <w:ind w:firstLine="480" w:firstLineChars="200"/>
              <w:rPr>
                <w:color w:val="auto"/>
                <w:kern w:val="0"/>
                <w:sz w:val="24"/>
                <w:szCs w:val="24"/>
              </w:rPr>
            </w:pPr>
            <w:r>
              <w:rPr>
                <w:rFonts w:hint="eastAsia"/>
                <w:color w:val="auto"/>
                <w:kern w:val="0"/>
                <w:sz w:val="24"/>
                <w:szCs w:val="24"/>
              </w:rPr>
              <w:t>本项目运营期无固废产生</w:t>
            </w:r>
            <w:r>
              <w:rPr>
                <w:color w:val="auto"/>
                <w:kern w:val="0"/>
                <w:sz w:val="24"/>
                <w:szCs w:val="24"/>
              </w:rPr>
              <w:t>。</w:t>
            </w:r>
          </w:p>
          <w:p>
            <w:pPr>
              <w:spacing w:line="360" w:lineRule="auto"/>
              <w:rPr>
                <w:b/>
                <w:bCs/>
                <w:color w:val="auto"/>
                <w:sz w:val="24"/>
                <w:szCs w:val="24"/>
              </w:rPr>
            </w:pPr>
            <w:r>
              <w:rPr>
                <w:rFonts w:hint="eastAsia"/>
                <w:b/>
                <w:bCs/>
                <w:color w:val="auto"/>
                <w:sz w:val="24"/>
                <w:szCs w:val="24"/>
              </w:rPr>
              <w:t>六</w:t>
            </w:r>
            <w:r>
              <w:rPr>
                <w:b/>
                <w:bCs/>
                <w:color w:val="auto"/>
                <w:sz w:val="24"/>
                <w:szCs w:val="24"/>
              </w:rPr>
              <w:t>、</w:t>
            </w:r>
            <w:r>
              <w:rPr>
                <w:rFonts w:hint="eastAsia"/>
                <w:b/>
                <w:bCs/>
                <w:color w:val="auto"/>
                <w:sz w:val="24"/>
                <w:szCs w:val="24"/>
              </w:rPr>
              <w:t>环境风险分析</w:t>
            </w:r>
          </w:p>
          <w:p>
            <w:pPr>
              <w:spacing w:line="360" w:lineRule="auto"/>
              <w:ind w:firstLine="480" w:firstLineChars="200"/>
              <w:rPr>
                <w:bCs/>
                <w:color w:val="auto"/>
                <w:sz w:val="24"/>
                <w:szCs w:val="24"/>
              </w:rPr>
            </w:pPr>
            <w:r>
              <w:rPr>
                <w:rFonts w:hint="eastAsia"/>
                <w:bCs/>
                <w:color w:val="auto"/>
                <w:sz w:val="24"/>
                <w:szCs w:val="24"/>
              </w:rPr>
              <w:t>本项目主要危险物质为氨水和高炉煤气，设置2个氨区，每个氨区配置1个5</w:t>
            </w:r>
            <w:r>
              <w:rPr>
                <w:bCs/>
                <w:color w:val="auto"/>
                <w:sz w:val="24"/>
                <w:szCs w:val="24"/>
              </w:rPr>
              <w:t>0</w:t>
            </w:r>
            <w:r>
              <w:rPr>
                <w:rFonts w:hint="eastAsia"/>
                <w:bCs/>
                <w:color w:val="auto"/>
                <w:sz w:val="24"/>
                <w:szCs w:val="24"/>
              </w:rPr>
              <w:t>m</w:t>
            </w:r>
            <w:r>
              <w:rPr>
                <w:bCs/>
                <w:color w:val="auto"/>
                <w:sz w:val="24"/>
                <w:szCs w:val="24"/>
                <w:vertAlign w:val="superscript"/>
              </w:rPr>
              <w:t>3</w:t>
            </w:r>
            <w:r>
              <w:rPr>
                <w:rFonts w:hint="eastAsia"/>
                <w:bCs/>
                <w:color w:val="auto"/>
                <w:sz w:val="24"/>
                <w:szCs w:val="24"/>
              </w:rPr>
              <w:t>浓氨水储罐、2个50m</w:t>
            </w:r>
            <w:r>
              <w:rPr>
                <w:bCs/>
                <w:color w:val="auto"/>
                <w:sz w:val="24"/>
                <w:szCs w:val="24"/>
                <w:vertAlign w:val="superscript"/>
              </w:rPr>
              <w:t>3</w:t>
            </w:r>
            <w:r>
              <w:rPr>
                <w:rFonts w:hint="eastAsia"/>
                <w:bCs/>
                <w:color w:val="auto"/>
                <w:sz w:val="24"/>
                <w:szCs w:val="24"/>
              </w:rPr>
              <w:t>稀氨水储罐；高炉煤气无储存设施，直接经管道输送至厂内使用；氨水储存量和高炉煤气在线量构成重大危险源，潜在的环境风险事故类型主要为氨水储罐泄露和高炉煤气输送管道泄漏，具体见附文环境影响评价专题。</w:t>
            </w:r>
          </w:p>
          <w:p>
            <w:pPr>
              <w:spacing w:line="360" w:lineRule="auto"/>
              <w:ind w:firstLine="480" w:firstLineChars="200"/>
              <w:rPr>
                <w:bCs/>
                <w:color w:val="auto"/>
                <w:sz w:val="24"/>
                <w:szCs w:val="24"/>
              </w:rPr>
            </w:pPr>
          </w:p>
          <w:p>
            <w:pPr>
              <w:spacing w:line="360" w:lineRule="auto"/>
              <w:ind w:firstLine="480" w:firstLineChars="200"/>
              <w:rPr>
                <w:bCs/>
                <w:color w:val="auto"/>
                <w:sz w:val="24"/>
                <w:szCs w:val="24"/>
              </w:rPr>
            </w:pPr>
          </w:p>
          <w:p>
            <w:pPr>
              <w:spacing w:line="360" w:lineRule="auto"/>
              <w:ind w:firstLine="480" w:firstLineChars="200"/>
              <w:rPr>
                <w:bCs/>
                <w:color w:val="auto"/>
                <w:sz w:val="24"/>
                <w:szCs w:val="24"/>
              </w:rPr>
            </w:pPr>
          </w:p>
          <w:p>
            <w:pPr>
              <w:spacing w:line="360" w:lineRule="auto"/>
              <w:ind w:firstLine="480" w:firstLineChars="200"/>
              <w:rPr>
                <w:bCs/>
                <w:color w:val="auto"/>
                <w:sz w:val="24"/>
                <w:szCs w:val="24"/>
              </w:rPr>
            </w:pPr>
          </w:p>
          <w:p>
            <w:pPr>
              <w:spacing w:line="360" w:lineRule="auto"/>
              <w:ind w:firstLine="480" w:firstLineChars="200"/>
              <w:rPr>
                <w:bCs/>
                <w:color w:val="auto"/>
                <w:sz w:val="24"/>
                <w:szCs w:val="24"/>
              </w:rPr>
            </w:pPr>
          </w:p>
          <w:p>
            <w:pPr>
              <w:spacing w:line="360" w:lineRule="auto"/>
              <w:ind w:firstLine="480" w:firstLineChars="200"/>
              <w:rPr>
                <w:bCs/>
                <w:color w:val="auto"/>
                <w:sz w:val="24"/>
                <w:szCs w:val="24"/>
              </w:rPr>
            </w:pPr>
          </w:p>
          <w:p>
            <w:pPr>
              <w:spacing w:line="360" w:lineRule="auto"/>
              <w:ind w:firstLine="480" w:firstLineChars="200"/>
              <w:rPr>
                <w:bCs/>
                <w:color w:val="auto"/>
                <w:sz w:val="24"/>
                <w:szCs w:val="24"/>
              </w:rPr>
            </w:pPr>
          </w:p>
          <w:p>
            <w:pPr>
              <w:spacing w:line="360" w:lineRule="auto"/>
              <w:ind w:firstLine="480" w:firstLineChars="200"/>
              <w:rPr>
                <w:bCs/>
                <w:color w:val="auto"/>
                <w:sz w:val="24"/>
                <w:szCs w:val="24"/>
              </w:rPr>
            </w:pPr>
          </w:p>
          <w:p>
            <w:pPr>
              <w:spacing w:line="360" w:lineRule="auto"/>
              <w:ind w:firstLine="480" w:firstLineChars="200"/>
              <w:rPr>
                <w:bCs/>
                <w:color w:val="auto"/>
                <w:sz w:val="24"/>
                <w:szCs w:val="24"/>
              </w:rPr>
            </w:pPr>
          </w:p>
          <w:p>
            <w:pPr>
              <w:spacing w:line="360" w:lineRule="auto"/>
              <w:ind w:firstLine="480" w:firstLineChars="200"/>
              <w:rPr>
                <w:bCs/>
                <w:color w:val="auto"/>
                <w:sz w:val="24"/>
                <w:szCs w:val="24"/>
              </w:rPr>
            </w:pPr>
          </w:p>
          <w:p>
            <w:pPr>
              <w:spacing w:line="360" w:lineRule="auto"/>
              <w:ind w:firstLine="480" w:firstLineChars="200"/>
              <w:rPr>
                <w:bCs/>
                <w:color w:val="auto"/>
                <w:sz w:val="24"/>
                <w:szCs w:val="24"/>
              </w:rPr>
            </w:pPr>
          </w:p>
          <w:p>
            <w:pPr>
              <w:spacing w:line="360" w:lineRule="auto"/>
              <w:rPr>
                <w:color w:val="auto"/>
                <w:kern w:val="0"/>
                <w:sz w:val="24"/>
                <w:szCs w:val="24"/>
              </w:rPr>
            </w:pPr>
          </w:p>
        </w:tc>
      </w:tr>
    </w:tbl>
    <w:p>
      <w:pPr>
        <w:outlineLvl w:val="0"/>
        <w:rPr>
          <w:rFonts w:eastAsia="黑体"/>
          <w:color w:val="auto"/>
          <w:sz w:val="30"/>
          <w:szCs w:val="30"/>
        </w:rPr>
      </w:pPr>
      <w:r>
        <w:rPr>
          <w:rFonts w:eastAsia="黑体"/>
          <w:color w:val="auto"/>
          <w:sz w:val="30"/>
          <w:szCs w:val="30"/>
        </w:rPr>
        <w:t>建设项目拟采取的防治措施及预期治理效果</w:t>
      </w:r>
    </w:p>
    <w:tbl>
      <w:tblPr>
        <w:tblStyle w:val="26"/>
        <w:tblW w:w="9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470"/>
        <w:gridCol w:w="1732"/>
        <w:gridCol w:w="1984"/>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tcBorders>
              <w:top w:val="single" w:color="auto" w:sz="12" w:space="0"/>
              <w:left w:val="single" w:color="auto" w:sz="12" w:space="0"/>
              <w:bottom w:val="single" w:color="auto" w:sz="4" w:space="0"/>
              <w:right w:val="single" w:color="auto" w:sz="4" w:space="0"/>
              <w:tl2br w:val="single" w:color="auto" w:sz="4" w:space="0"/>
            </w:tcBorders>
            <w:vAlign w:val="center"/>
          </w:tcPr>
          <w:p>
            <w:pPr>
              <w:jc w:val="center"/>
              <w:rPr>
                <w:color w:val="auto"/>
                <w:sz w:val="24"/>
                <w:szCs w:val="24"/>
              </w:rPr>
            </w:pPr>
            <w:r>
              <w:rPr>
                <w:color w:val="auto"/>
                <w:sz w:val="24"/>
                <w:szCs w:val="24"/>
              </w:rPr>
              <w:t>内容</w:t>
            </w:r>
          </w:p>
          <w:p>
            <w:pPr>
              <w:jc w:val="center"/>
              <w:rPr>
                <w:color w:val="auto"/>
                <w:sz w:val="24"/>
                <w:szCs w:val="24"/>
              </w:rPr>
            </w:pPr>
          </w:p>
          <w:p>
            <w:pPr>
              <w:rPr>
                <w:color w:val="auto"/>
                <w:sz w:val="24"/>
                <w:szCs w:val="24"/>
              </w:rPr>
            </w:pPr>
            <w:r>
              <w:rPr>
                <w:color w:val="auto"/>
                <w:sz w:val="24"/>
                <w:szCs w:val="24"/>
              </w:rPr>
              <w:t>类型</w:t>
            </w:r>
          </w:p>
        </w:tc>
        <w:tc>
          <w:tcPr>
            <w:tcW w:w="1470" w:type="dxa"/>
            <w:tcBorders>
              <w:top w:val="single" w:color="auto" w:sz="12" w:space="0"/>
              <w:left w:val="single" w:color="auto" w:sz="4" w:space="0"/>
              <w:bottom w:val="single" w:color="auto" w:sz="4" w:space="0"/>
              <w:right w:val="single" w:color="auto" w:sz="4" w:space="0"/>
            </w:tcBorders>
            <w:vAlign w:val="center"/>
          </w:tcPr>
          <w:p>
            <w:pPr>
              <w:jc w:val="center"/>
              <w:rPr>
                <w:color w:val="auto"/>
                <w:sz w:val="24"/>
                <w:szCs w:val="24"/>
              </w:rPr>
            </w:pPr>
            <w:r>
              <w:rPr>
                <w:color w:val="auto"/>
                <w:sz w:val="24"/>
                <w:szCs w:val="24"/>
              </w:rPr>
              <w:t>排放源</w:t>
            </w:r>
          </w:p>
          <w:p>
            <w:pPr>
              <w:jc w:val="center"/>
              <w:rPr>
                <w:color w:val="auto"/>
                <w:sz w:val="24"/>
                <w:szCs w:val="24"/>
              </w:rPr>
            </w:pPr>
            <w:r>
              <w:rPr>
                <w:color w:val="auto"/>
                <w:sz w:val="24"/>
                <w:szCs w:val="24"/>
              </w:rPr>
              <w:t>（编号）</w:t>
            </w:r>
          </w:p>
        </w:tc>
        <w:tc>
          <w:tcPr>
            <w:tcW w:w="1732" w:type="dxa"/>
            <w:tcBorders>
              <w:top w:val="single" w:color="auto" w:sz="12" w:space="0"/>
              <w:left w:val="single" w:color="auto" w:sz="4" w:space="0"/>
              <w:bottom w:val="single" w:color="auto" w:sz="4" w:space="0"/>
              <w:right w:val="single" w:color="auto" w:sz="4" w:space="0"/>
            </w:tcBorders>
            <w:vAlign w:val="center"/>
          </w:tcPr>
          <w:p>
            <w:pPr>
              <w:jc w:val="center"/>
              <w:rPr>
                <w:color w:val="auto"/>
                <w:sz w:val="24"/>
                <w:szCs w:val="24"/>
              </w:rPr>
            </w:pPr>
            <w:r>
              <w:rPr>
                <w:color w:val="auto"/>
                <w:sz w:val="24"/>
                <w:szCs w:val="24"/>
              </w:rPr>
              <w:t>污染物名称</w:t>
            </w:r>
          </w:p>
        </w:tc>
        <w:tc>
          <w:tcPr>
            <w:tcW w:w="1984" w:type="dxa"/>
            <w:tcBorders>
              <w:top w:val="single" w:color="auto" w:sz="12" w:space="0"/>
              <w:left w:val="single" w:color="auto" w:sz="4" w:space="0"/>
              <w:bottom w:val="single" w:color="auto" w:sz="4" w:space="0"/>
              <w:right w:val="single" w:color="auto" w:sz="4" w:space="0"/>
            </w:tcBorders>
            <w:vAlign w:val="center"/>
          </w:tcPr>
          <w:p>
            <w:pPr>
              <w:jc w:val="center"/>
              <w:rPr>
                <w:color w:val="auto"/>
                <w:sz w:val="24"/>
                <w:szCs w:val="24"/>
              </w:rPr>
            </w:pPr>
            <w:r>
              <w:rPr>
                <w:color w:val="auto"/>
                <w:sz w:val="24"/>
                <w:szCs w:val="24"/>
              </w:rPr>
              <w:t>防治措施</w:t>
            </w:r>
          </w:p>
        </w:tc>
        <w:tc>
          <w:tcPr>
            <w:tcW w:w="2656" w:type="dxa"/>
            <w:tcBorders>
              <w:top w:val="single" w:color="auto" w:sz="12" w:space="0"/>
              <w:left w:val="single" w:color="auto" w:sz="4" w:space="0"/>
              <w:bottom w:val="single" w:color="auto" w:sz="4" w:space="0"/>
              <w:right w:val="single" w:color="auto" w:sz="12" w:space="0"/>
            </w:tcBorders>
            <w:vAlign w:val="center"/>
          </w:tcPr>
          <w:p>
            <w:pPr>
              <w:jc w:val="center"/>
              <w:rPr>
                <w:color w:val="auto"/>
                <w:sz w:val="24"/>
                <w:szCs w:val="24"/>
              </w:rPr>
            </w:pPr>
            <w:r>
              <w:rPr>
                <w:color w:val="auto"/>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1158" w:type="dxa"/>
            <w:vMerge w:val="restart"/>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p>
          <w:p>
            <w:pPr>
              <w:jc w:val="center"/>
              <w:rPr>
                <w:color w:val="auto"/>
                <w:sz w:val="24"/>
                <w:szCs w:val="24"/>
              </w:rPr>
            </w:pPr>
            <w:r>
              <w:rPr>
                <w:color w:val="auto"/>
                <w:sz w:val="24"/>
                <w:szCs w:val="24"/>
              </w:rPr>
              <w:t>大</w:t>
            </w:r>
          </w:p>
          <w:p>
            <w:pPr>
              <w:jc w:val="center"/>
              <w:rPr>
                <w:color w:val="auto"/>
                <w:sz w:val="24"/>
                <w:szCs w:val="24"/>
              </w:rPr>
            </w:pPr>
            <w:r>
              <w:rPr>
                <w:color w:val="auto"/>
                <w:sz w:val="24"/>
                <w:szCs w:val="24"/>
              </w:rPr>
              <w:t>气</w:t>
            </w:r>
          </w:p>
          <w:p>
            <w:pPr>
              <w:jc w:val="center"/>
              <w:rPr>
                <w:color w:val="auto"/>
                <w:sz w:val="24"/>
                <w:szCs w:val="24"/>
              </w:rPr>
            </w:pPr>
            <w:r>
              <w:rPr>
                <w:color w:val="auto"/>
                <w:sz w:val="24"/>
                <w:szCs w:val="24"/>
              </w:rPr>
              <w:t>污</w:t>
            </w:r>
          </w:p>
          <w:p>
            <w:pPr>
              <w:jc w:val="center"/>
              <w:rPr>
                <w:color w:val="auto"/>
                <w:sz w:val="24"/>
                <w:szCs w:val="24"/>
              </w:rPr>
            </w:pPr>
            <w:r>
              <w:rPr>
                <w:color w:val="auto"/>
                <w:sz w:val="24"/>
                <w:szCs w:val="24"/>
              </w:rPr>
              <w:t>染</w:t>
            </w:r>
          </w:p>
          <w:p>
            <w:pPr>
              <w:jc w:val="center"/>
              <w:rPr>
                <w:color w:val="auto"/>
                <w:sz w:val="24"/>
                <w:szCs w:val="24"/>
              </w:rPr>
            </w:pPr>
            <w:r>
              <w:rPr>
                <w:color w:val="auto"/>
                <w:sz w:val="24"/>
                <w:szCs w:val="24"/>
              </w:rPr>
              <w:t>物</w:t>
            </w:r>
          </w:p>
        </w:tc>
        <w:tc>
          <w:tcPr>
            <w:tcW w:w="1470" w:type="dxa"/>
            <w:vMerge w:val="restart"/>
            <w:tcBorders>
              <w:top w:val="single" w:color="auto" w:sz="4" w:space="0"/>
              <w:left w:val="single" w:color="auto" w:sz="4" w:space="0"/>
              <w:right w:val="single" w:color="auto" w:sz="4" w:space="0"/>
            </w:tcBorders>
            <w:vAlign w:val="center"/>
          </w:tcPr>
          <w:p>
            <w:pPr>
              <w:jc w:val="center"/>
              <w:rPr>
                <w:color w:val="auto"/>
                <w:sz w:val="24"/>
                <w:szCs w:val="24"/>
              </w:rPr>
            </w:pPr>
            <w:r>
              <w:rPr>
                <w:rFonts w:hint="eastAsia"/>
                <w:color w:val="auto"/>
                <w:sz w:val="24"/>
                <w:szCs w:val="24"/>
              </w:rPr>
              <w:t>1#、2#、3#烟囱</w:t>
            </w:r>
          </w:p>
        </w:tc>
        <w:tc>
          <w:tcPr>
            <w:tcW w:w="1732"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颗粒物、SO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低氮燃烧+氨法脱硫+袋式除尘器+80高烟囱排放</w:t>
            </w:r>
          </w:p>
        </w:tc>
        <w:tc>
          <w:tcPr>
            <w:tcW w:w="2656"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color w:val="auto"/>
                <w:sz w:val="24"/>
                <w:szCs w:val="24"/>
              </w:rPr>
              <w:t>满足</w:t>
            </w:r>
            <w:r>
              <w:rPr>
                <w:rFonts w:hint="eastAsia"/>
                <w:color w:val="auto"/>
                <w:sz w:val="24"/>
                <w:szCs w:val="24"/>
              </w:rPr>
              <w:t>《关中地区重点行业大气污染物排放限值》（DB61/941-2014）标准限值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1158" w:type="dxa"/>
            <w:vMerge w:val="continue"/>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p>
        </w:tc>
        <w:tc>
          <w:tcPr>
            <w:tcW w:w="1470" w:type="dxa"/>
            <w:vMerge w:val="continue"/>
            <w:tcBorders>
              <w:left w:val="single" w:color="auto" w:sz="4" w:space="0"/>
              <w:bottom w:val="single" w:color="auto" w:sz="4" w:space="0"/>
              <w:right w:val="single" w:color="auto" w:sz="4" w:space="0"/>
            </w:tcBorders>
            <w:vAlign w:val="center"/>
          </w:tcPr>
          <w:p>
            <w:pPr>
              <w:jc w:val="center"/>
              <w:rPr>
                <w:color w:val="auto"/>
                <w:sz w:val="24"/>
                <w:szCs w:val="24"/>
              </w:rPr>
            </w:pPr>
          </w:p>
        </w:tc>
        <w:tc>
          <w:tcPr>
            <w:tcW w:w="1732"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N</w:t>
            </w:r>
            <w:r>
              <w:rPr>
                <w:color w:val="auto"/>
                <w:sz w:val="24"/>
                <w:szCs w:val="24"/>
              </w:rPr>
              <w:t>H</w:t>
            </w:r>
            <w:r>
              <w:rPr>
                <w:color w:val="auto"/>
                <w:sz w:val="24"/>
                <w:szCs w:val="24"/>
                <w:vertAlign w:val="subscript"/>
              </w:rPr>
              <w:t>3</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通过D</w:t>
            </w:r>
            <w:r>
              <w:rPr>
                <w:color w:val="auto"/>
                <w:sz w:val="24"/>
                <w:szCs w:val="24"/>
              </w:rPr>
              <w:t>CS</w:t>
            </w:r>
            <w:r>
              <w:rPr>
                <w:rFonts w:hint="eastAsia"/>
                <w:color w:val="auto"/>
                <w:sz w:val="24"/>
                <w:szCs w:val="24"/>
              </w:rPr>
              <w:t>中控系统和在线监测系统控制脱硫系统运行参数，减少氨逃逸</w:t>
            </w:r>
          </w:p>
        </w:tc>
        <w:tc>
          <w:tcPr>
            <w:tcW w:w="2656"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《氨法烟气脱硫工程通用技术规范》（H</w:t>
            </w:r>
            <w:r>
              <w:rPr>
                <w:color w:val="auto"/>
                <w:sz w:val="24"/>
                <w:szCs w:val="24"/>
              </w:rPr>
              <w:t>J2001</w:t>
            </w:r>
            <w:r>
              <w:rPr>
                <w:rFonts w:hint="eastAsia"/>
                <w:color w:val="auto"/>
                <w:sz w:val="24"/>
                <w:szCs w:val="24"/>
              </w:rPr>
              <w:t>-</w:t>
            </w:r>
            <w:r>
              <w:rPr>
                <w:color w:val="auto"/>
                <w:sz w:val="24"/>
                <w:szCs w:val="24"/>
              </w:rPr>
              <w:t>2018</w:t>
            </w:r>
            <w:r>
              <w:rPr>
                <w:rFonts w:hint="eastAsia"/>
                <w:color w:val="auto"/>
                <w:sz w:val="24"/>
                <w:szCs w:val="24"/>
              </w:rPr>
              <w:t>）相关规定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7" w:hRule="atLeast"/>
          <w:jc w:val="center"/>
        </w:trPr>
        <w:tc>
          <w:tcPr>
            <w:tcW w:w="1158" w:type="dxa"/>
            <w:vMerge w:val="continue"/>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p>
        </w:tc>
        <w:tc>
          <w:tcPr>
            <w:tcW w:w="1470"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氨区无组织废气</w:t>
            </w:r>
          </w:p>
        </w:tc>
        <w:tc>
          <w:tcPr>
            <w:tcW w:w="1732"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NH</w:t>
            </w:r>
            <w:r>
              <w:rPr>
                <w:rFonts w:hint="eastAsia"/>
                <w:color w:val="auto"/>
                <w:sz w:val="24"/>
                <w:szCs w:val="24"/>
                <w:vertAlign w:val="subscript"/>
              </w:rPr>
              <w:t>3</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w:t>
            </w:r>
          </w:p>
        </w:tc>
        <w:tc>
          <w:tcPr>
            <w:tcW w:w="2656"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2" w:hRule="atLeast"/>
          <w:jc w:val="center"/>
        </w:trPr>
        <w:tc>
          <w:tcPr>
            <w:tcW w:w="1158" w:type="dxa"/>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p>
          <w:p>
            <w:pPr>
              <w:jc w:val="center"/>
              <w:rPr>
                <w:color w:val="auto"/>
                <w:sz w:val="24"/>
                <w:szCs w:val="24"/>
              </w:rPr>
            </w:pPr>
            <w:r>
              <w:rPr>
                <w:color w:val="auto"/>
                <w:sz w:val="24"/>
                <w:szCs w:val="24"/>
              </w:rPr>
              <w:t>水</w:t>
            </w:r>
          </w:p>
          <w:p>
            <w:pPr>
              <w:jc w:val="center"/>
              <w:rPr>
                <w:color w:val="auto"/>
                <w:sz w:val="24"/>
                <w:szCs w:val="24"/>
              </w:rPr>
            </w:pPr>
            <w:r>
              <w:rPr>
                <w:color w:val="auto"/>
                <w:sz w:val="24"/>
                <w:szCs w:val="24"/>
              </w:rPr>
              <w:t>污</w:t>
            </w:r>
          </w:p>
          <w:p>
            <w:pPr>
              <w:jc w:val="center"/>
              <w:rPr>
                <w:color w:val="auto"/>
                <w:sz w:val="24"/>
                <w:szCs w:val="24"/>
              </w:rPr>
            </w:pPr>
            <w:r>
              <w:rPr>
                <w:color w:val="auto"/>
                <w:sz w:val="24"/>
                <w:szCs w:val="24"/>
              </w:rPr>
              <w:t>染</w:t>
            </w:r>
          </w:p>
          <w:p>
            <w:pPr>
              <w:jc w:val="center"/>
              <w:rPr>
                <w:color w:val="auto"/>
                <w:sz w:val="24"/>
                <w:szCs w:val="24"/>
              </w:rPr>
            </w:pPr>
            <w:r>
              <w:rPr>
                <w:color w:val="auto"/>
                <w:sz w:val="24"/>
                <w:szCs w:val="24"/>
              </w:rPr>
              <w:t>物</w:t>
            </w:r>
          </w:p>
          <w:p>
            <w:pPr>
              <w:jc w:val="center"/>
              <w:rPr>
                <w:color w:val="auto"/>
                <w:sz w:val="24"/>
                <w:szCs w:val="24"/>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auto"/>
                <w:sz w:val="24"/>
                <w:szCs w:val="24"/>
              </w:rPr>
            </w:pPr>
            <w:r>
              <w:rPr>
                <w:rFonts w:hint="eastAsia"/>
                <w:color w:val="auto"/>
                <w:sz w:val="24"/>
                <w:szCs w:val="24"/>
              </w:rPr>
              <w:t>/</w:t>
            </w:r>
          </w:p>
        </w:tc>
        <w:tc>
          <w:tcPr>
            <w:tcW w:w="1732"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rPr>
            </w:pPr>
            <w:r>
              <w:rPr>
                <w:rFonts w:hint="eastAsia"/>
                <w:color w:val="auto"/>
                <w:sz w:val="24"/>
                <w:szCs w:val="24"/>
              </w:rPr>
              <w:t>/</w:t>
            </w:r>
          </w:p>
        </w:tc>
        <w:tc>
          <w:tcPr>
            <w:tcW w:w="2656"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6" w:hRule="atLeast"/>
          <w:jc w:val="center"/>
        </w:trPr>
        <w:tc>
          <w:tcPr>
            <w:tcW w:w="1158" w:type="dxa"/>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r>
              <w:rPr>
                <w:color w:val="auto"/>
                <w:sz w:val="24"/>
                <w:szCs w:val="24"/>
              </w:rPr>
              <w:t>固</w:t>
            </w:r>
          </w:p>
          <w:p>
            <w:pPr>
              <w:jc w:val="center"/>
              <w:rPr>
                <w:color w:val="auto"/>
                <w:sz w:val="24"/>
                <w:szCs w:val="24"/>
              </w:rPr>
            </w:pPr>
            <w:r>
              <w:rPr>
                <w:color w:val="auto"/>
                <w:sz w:val="24"/>
                <w:szCs w:val="24"/>
              </w:rPr>
              <w:t>体</w:t>
            </w:r>
          </w:p>
          <w:p>
            <w:pPr>
              <w:jc w:val="center"/>
              <w:rPr>
                <w:color w:val="auto"/>
                <w:sz w:val="24"/>
                <w:szCs w:val="24"/>
              </w:rPr>
            </w:pPr>
            <w:r>
              <w:rPr>
                <w:color w:val="auto"/>
                <w:sz w:val="24"/>
                <w:szCs w:val="24"/>
              </w:rPr>
              <w:t>废</w:t>
            </w:r>
          </w:p>
          <w:p>
            <w:pPr>
              <w:jc w:val="center"/>
              <w:rPr>
                <w:color w:val="auto"/>
                <w:sz w:val="24"/>
                <w:szCs w:val="24"/>
              </w:rPr>
            </w:pPr>
            <w:r>
              <w:rPr>
                <w:color w:val="auto"/>
                <w:sz w:val="24"/>
                <w:szCs w:val="24"/>
              </w:rPr>
              <w:t>物</w:t>
            </w:r>
          </w:p>
        </w:tc>
        <w:tc>
          <w:tcPr>
            <w:tcW w:w="1470" w:type="dxa"/>
            <w:tcBorders>
              <w:top w:val="single" w:color="auto" w:sz="4" w:space="0"/>
              <w:left w:val="single" w:color="auto" w:sz="4" w:space="0"/>
              <w:right w:val="single" w:color="auto" w:sz="4" w:space="0"/>
            </w:tcBorders>
            <w:vAlign w:val="center"/>
          </w:tcPr>
          <w:p>
            <w:pPr>
              <w:spacing w:line="360" w:lineRule="auto"/>
              <w:jc w:val="center"/>
              <w:rPr>
                <w:color w:val="auto"/>
                <w:sz w:val="24"/>
                <w:szCs w:val="24"/>
              </w:rPr>
            </w:pPr>
            <w:r>
              <w:rPr>
                <w:rFonts w:hint="eastAsia"/>
                <w:color w:val="auto"/>
                <w:sz w:val="24"/>
                <w:szCs w:val="24"/>
              </w:rPr>
              <w:t>/</w:t>
            </w:r>
          </w:p>
        </w:tc>
        <w:tc>
          <w:tcPr>
            <w:tcW w:w="1732" w:type="dxa"/>
            <w:tcBorders>
              <w:top w:val="single" w:color="auto" w:sz="4" w:space="0"/>
              <w:left w:val="single" w:color="auto" w:sz="4" w:space="0"/>
              <w:right w:val="single" w:color="auto" w:sz="4" w:space="0"/>
            </w:tcBorders>
            <w:vAlign w:val="center"/>
          </w:tcPr>
          <w:p>
            <w:pPr>
              <w:jc w:val="center"/>
              <w:rPr>
                <w:color w:val="auto"/>
                <w:sz w:val="24"/>
                <w:szCs w:val="24"/>
              </w:rPr>
            </w:pPr>
            <w:r>
              <w:rPr>
                <w:rFonts w:hint="eastAsia"/>
                <w:color w:val="auto"/>
                <w:sz w:val="24"/>
                <w:szCs w:val="24"/>
              </w:rPr>
              <w:t>/</w:t>
            </w:r>
          </w:p>
        </w:tc>
        <w:tc>
          <w:tcPr>
            <w:tcW w:w="1984" w:type="dxa"/>
            <w:tcBorders>
              <w:top w:val="single" w:color="auto" w:sz="4" w:space="0"/>
              <w:left w:val="single" w:color="auto" w:sz="4" w:space="0"/>
              <w:right w:val="single" w:color="auto" w:sz="4" w:space="0"/>
            </w:tcBorders>
            <w:vAlign w:val="center"/>
          </w:tcPr>
          <w:p>
            <w:pPr>
              <w:jc w:val="center"/>
              <w:rPr>
                <w:color w:val="auto"/>
                <w:sz w:val="24"/>
                <w:szCs w:val="24"/>
              </w:rPr>
            </w:pPr>
            <w:r>
              <w:rPr>
                <w:rFonts w:hint="eastAsia"/>
                <w:color w:val="auto"/>
                <w:sz w:val="24"/>
                <w:szCs w:val="24"/>
              </w:rPr>
              <w:t>/</w:t>
            </w:r>
          </w:p>
        </w:tc>
        <w:tc>
          <w:tcPr>
            <w:tcW w:w="2656" w:type="dxa"/>
            <w:tcBorders>
              <w:top w:val="single" w:color="auto" w:sz="4" w:space="0"/>
              <w:left w:val="single" w:color="auto" w:sz="4" w:space="0"/>
              <w:bottom w:val="single" w:color="auto" w:sz="4" w:space="0"/>
              <w:right w:val="single" w:color="auto" w:sz="12" w:space="0"/>
            </w:tcBorders>
            <w:vAlign w:val="center"/>
          </w:tcPr>
          <w:p>
            <w:pPr>
              <w:jc w:val="center"/>
              <w:rPr>
                <w:color w:val="auto"/>
                <w:sz w:val="24"/>
                <w:szCs w:val="24"/>
              </w:rPr>
            </w:pPr>
            <w:r>
              <w:rPr>
                <w:rFonts w:hint="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16" w:hRule="atLeast"/>
          <w:jc w:val="center"/>
        </w:trPr>
        <w:tc>
          <w:tcPr>
            <w:tcW w:w="1158" w:type="dxa"/>
            <w:tcBorders>
              <w:top w:val="single" w:color="auto" w:sz="4" w:space="0"/>
              <w:left w:val="single" w:color="auto" w:sz="12" w:space="0"/>
              <w:bottom w:val="single" w:color="auto" w:sz="4" w:space="0"/>
              <w:right w:val="single" w:color="auto" w:sz="4" w:space="0"/>
            </w:tcBorders>
            <w:vAlign w:val="center"/>
          </w:tcPr>
          <w:p>
            <w:pPr>
              <w:jc w:val="center"/>
              <w:rPr>
                <w:color w:val="auto"/>
                <w:sz w:val="24"/>
                <w:szCs w:val="24"/>
              </w:rPr>
            </w:pPr>
          </w:p>
          <w:p>
            <w:pPr>
              <w:jc w:val="center"/>
              <w:rPr>
                <w:color w:val="auto"/>
                <w:sz w:val="24"/>
                <w:szCs w:val="24"/>
              </w:rPr>
            </w:pPr>
            <w:r>
              <w:rPr>
                <w:color w:val="auto"/>
                <w:sz w:val="24"/>
                <w:szCs w:val="24"/>
              </w:rPr>
              <w:t>噪</w:t>
            </w:r>
          </w:p>
          <w:p>
            <w:pPr>
              <w:jc w:val="center"/>
              <w:rPr>
                <w:color w:val="auto"/>
                <w:sz w:val="24"/>
                <w:szCs w:val="24"/>
              </w:rPr>
            </w:pPr>
            <w:r>
              <w:rPr>
                <w:color w:val="auto"/>
                <w:sz w:val="24"/>
                <w:szCs w:val="24"/>
              </w:rPr>
              <w:t>声</w:t>
            </w:r>
          </w:p>
          <w:p>
            <w:pPr>
              <w:jc w:val="center"/>
              <w:rPr>
                <w:color w:val="auto"/>
                <w:sz w:val="24"/>
                <w:szCs w:val="24"/>
              </w:rPr>
            </w:pPr>
          </w:p>
        </w:tc>
        <w:tc>
          <w:tcPr>
            <w:tcW w:w="3202" w:type="dxa"/>
            <w:gridSpan w:val="2"/>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吸收塔、清水泵、卸氨泵、喷氨泵、空压机、风机等</w:t>
            </w:r>
          </w:p>
        </w:tc>
        <w:tc>
          <w:tcPr>
            <w:tcW w:w="1984" w:type="dxa"/>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color w:val="auto"/>
                <w:sz w:val="24"/>
                <w:szCs w:val="24"/>
              </w:rPr>
              <w:t>减震安装</w:t>
            </w:r>
          </w:p>
        </w:tc>
        <w:tc>
          <w:tcPr>
            <w:tcW w:w="2656" w:type="dxa"/>
            <w:tcBorders>
              <w:top w:val="single" w:color="auto" w:sz="4" w:space="0"/>
              <w:left w:val="single" w:color="auto" w:sz="4" w:space="0"/>
              <w:bottom w:val="single" w:color="auto" w:sz="4" w:space="0"/>
              <w:right w:val="single" w:color="auto" w:sz="12" w:space="0"/>
            </w:tcBorders>
            <w:vAlign w:val="center"/>
          </w:tcPr>
          <w:p>
            <w:pPr>
              <w:rPr>
                <w:color w:val="auto"/>
                <w:sz w:val="24"/>
                <w:szCs w:val="24"/>
              </w:rPr>
            </w:pPr>
            <w:r>
              <w:rPr>
                <w:color w:val="auto"/>
                <w:sz w:val="24"/>
                <w:szCs w:val="24"/>
              </w:rPr>
              <w:t>满足GB12348-2008《工业企业厂界环境噪声排放标准》</w:t>
            </w:r>
            <w:r>
              <w:rPr>
                <w:rFonts w:hint="eastAsia"/>
                <w:color w:val="auto"/>
                <w:sz w:val="24"/>
                <w:szCs w:val="24"/>
              </w:rPr>
              <w:t>3</w:t>
            </w:r>
            <w:r>
              <w:rPr>
                <w:color w:val="auto"/>
                <w:sz w:val="24"/>
                <w:szCs w:val="24"/>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44" w:hRule="atLeast"/>
          <w:jc w:val="center"/>
        </w:trPr>
        <w:tc>
          <w:tcPr>
            <w:tcW w:w="1158" w:type="dxa"/>
            <w:tcBorders>
              <w:top w:val="single" w:color="auto" w:sz="4" w:space="0"/>
              <w:left w:val="single" w:color="auto" w:sz="12" w:space="0"/>
              <w:bottom w:val="single" w:color="auto" w:sz="12" w:space="0"/>
              <w:right w:val="single" w:color="auto" w:sz="4" w:space="0"/>
            </w:tcBorders>
            <w:vAlign w:val="center"/>
          </w:tcPr>
          <w:p>
            <w:pPr>
              <w:jc w:val="center"/>
              <w:rPr>
                <w:color w:val="auto"/>
                <w:sz w:val="24"/>
                <w:szCs w:val="24"/>
              </w:rPr>
            </w:pPr>
            <w:r>
              <w:rPr>
                <w:color w:val="auto"/>
                <w:sz w:val="24"/>
                <w:szCs w:val="24"/>
              </w:rPr>
              <w:t>生态</w:t>
            </w:r>
          </w:p>
        </w:tc>
        <w:tc>
          <w:tcPr>
            <w:tcW w:w="7842" w:type="dxa"/>
            <w:gridSpan w:val="4"/>
            <w:tcBorders>
              <w:top w:val="single" w:color="auto" w:sz="4" w:space="0"/>
              <w:left w:val="single" w:color="auto" w:sz="4" w:space="0"/>
              <w:bottom w:val="single" w:color="auto" w:sz="12" w:space="0"/>
              <w:right w:val="single" w:color="auto" w:sz="12" w:space="0"/>
            </w:tcBorders>
            <w:vAlign w:val="center"/>
          </w:tcPr>
          <w:p>
            <w:pPr>
              <w:spacing w:before="156" w:beforeLines="50"/>
              <w:ind w:firstLine="480" w:firstLineChars="200"/>
              <w:jc w:val="left"/>
              <w:rPr>
                <w:color w:val="auto"/>
                <w:sz w:val="24"/>
                <w:szCs w:val="24"/>
              </w:rPr>
            </w:pPr>
          </w:p>
          <w:p>
            <w:pPr>
              <w:spacing w:before="156" w:beforeLines="50"/>
              <w:ind w:firstLine="480" w:firstLineChars="200"/>
              <w:jc w:val="left"/>
              <w:rPr>
                <w:color w:val="auto"/>
                <w:sz w:val="24"/>
                <w:szCs w:val="24"/>
              </w:rPr>
            </w:pPr>
            <w:r>
              <w:rPr>
                <w:color w:val="auto"/>
                <w:sz w:val="24"/>
                <w:szCs w:val="24"/>
              </w:rPr>
              <w:t>本项目属于环保改造项目，项目建成运行后</w:t>
            </w:r>
            <w:r>
              <w:rPr>
                <w:rFonts w:hint="eastAsia"/>
                <w:color w:val="auto"/>
                <w:sz w:val="24"/>
                <w:szCs w:val="24"/>
              </w:rPr>
              <w:t>可减少锅炉烟气污染物颗粒物、SO</w:t>
            </w:r>
            <w:r>
              <w:rPr>
                <w:rFonts w:hint="eastAsia"/>
                <w:color w:val="auto"/>
                <w:sz w:val="24"/>
                <w:szCs w:val="24"/>
                <w:vertAlign w:val="subscript"/>
              </w:rPr>
              <w:t>2</w:t>
            </w:r>
            <w:r>
              <w:rPr>
                <w:rFonts w:hint="eastAsia"/>
                <w:color w:val="auto"/>
                <w:sz w:val="24"/>
                <w:szCs w:val="24"/>
              </w:rPr>
              <w:t>和NO</w:t>
            </w:r>
            <w:r>
              <w:rPr>
                <w:rFonts w:hint="eastAsia"/>
                <w:color w:val="auto"/>
                <w:sz w:val="24"/>
                <w:szCs w:val="24"/>
                <w:vertAlign w:val="subscript"/>
              </w:rPr>
              <w:t>X</w:t>
            </w:r>
            <w:r>
              <w:rPr>
                <w:rFonts w:hint="eastAsia"/>
                <w:color w:val="auto"/>
                <w:sz w:val="24"/>
                <w:szCs w:val="24"/>
              </w:rPr>
              <w:t>排放量，</w:t>
            </w:r>
            <w:r>
              <w:rPr>
                <w:color w:val="auto"/>
                <w:sz w:val="24"/>
                <w:szCs w:val="24"/>
              </w:rPr>
              <w:t>项目建设和运行对生态环境影响很小。</w:t>
            </w:r>
          </w:p>
          <w:p>
            <w:pPr>
              <w:rPr>
                <w:color w:val="auto"/>
                <w:kern w:val="0"/>
                <w:sz w:val="24"/>
                <w:szCs w:val="24"/>
              </w:rPr>
            </w:pPr>
          </w:p>
          <w:p>
            <w:pPr>
              <w:rPr>
                <w:color w:val="auto"/>
                <w:kern w:val="0"/>
                <w:sz w:val="24"/>
                <w:szCs w:val="24"/>
              </w:rPr>
            </w:pPr>
          </w:p>
          <w:p>
            <w:pPr>
              <w:rPr>
                <w:color w:val="auto"/>
                <w:kern w:val="0"/>
                <w:sz w:val="24"/>
                <w:szCs w:val="24"/>
              </w:rPr>
            </w:pPr>
          </w:p>
          <w:p>
            <w:pPr>
              <w:rPr>
                <w:color w:val="auto"/>
                <w:kern w:val="0"/>
                <w:sz w:val="24"/>
                <w:szCs w:val="24"/>
              </w:rPr>
            </w:pPr>
          </w:p>
          <w:p>
            <w:pPr>
              <w:rPr>
                <w:color w:val="auto"/>
                <w:kern w:val="0"/>
                <w:sz w:val="24"/>
                <w:szCs w:val="24"/>
              </w:rPr>
            </w:pPr>
          </w:p>
          <w:p>
            <w:pPr>
              <w:rPr>
                <w:color w:val="auto"/>
                <w:kern w:val="0"/>
                <w:sz w:val="24"/>
                <w:szCs w:val="24"/>
              </w:rPr>
            </w:pPr>
          </w:p>
          <w:p>
            <w:pPr>
              <w:rPr>
                <w:color w:val="auto"/>
                <w:kern w:val="0"/>
                <w:sz w:val="24"/>
                <w:szCs w:val="24"/>
              </w:rPr>
            </w:pPr>
          </w:p>
        </w:tc>
      </w:tr>
    </w:tbl>
    <w:p>
      <w:pPr>
        <w:outlineLvl w:val="0"/>
        <w:rPr>
          <w:rFonts w:eastAsia="黑体"/>
          <w:color w:val="auto"/>
          <w:sz w:val="30"/>
          <w:szCs w:val="30"/>
        </w:rPr>
        <w:sectPr>
          <w:pgSz w:w="11906" w:h="16838"/>
          <w:pgMar w:top="1588" w:right="1134" w:bottom="1361" w:left="1701" w:header="851" w:footer="907" w:gutter="0"/>
          <w:cols w:space="425" w:num="1"/>
          <w:docGrid w:type="lines" w:linePitch="312" w:charSpace="0"/>
        </w:sectPr>
      </w:pPr>
    </w:p>
    <w:p>
      <w:pPr>
        <w:pStyle w:val="21"/>
        <w:jc w:val="left"/>
        <w:outlineLvl w:val="0"/>
        <w:rPr>
          <w:rFonts w:eastAsia="黑体"/>
          <w:color w:val="auto"/>
          <w:sz w:val="24"/>
          <w:szCs w:val="24"/>
        </w:rPr>
      </w:pPr>
      <w:r>
        <w:rPr>
          <w:rFonts w:eastAsia="黑体"/>
          <w:color w:val="auto"/>
          <w:sz w:val="24"/>
          <w:szCs w:val="24"/>
        </w:rPr>
        <w:t>环境管理与监测计划</w:t>
      </w:r>
    </w:p>
    <w:tbl>
      <w:tblPr>
        <w:tblStyle w:val="26"/>
        <w:tblW w:w="9327"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471" w:hRule="atLeast"/>
        </w:trPr>
        <w:tc>
          <w:tcPr>
            <w:tcW w:w="9327" w:type="dxa"/>
            <w:tcBorders>
              <w:top w:val="single" w:color="auto" w:sz="12" w:space="0"/>
              <w:left w:val="single" w:color="auto" w:sz="12" w:space="0"/>
              <w:bottom w:val="single" w:color="auto" w:sz="12" w:space="0"/>
              <w:right w:val="single" w:color="auto" w:sz="12" w:space="0"/>
            </w:tcBorders>
          </w:tcPr>
          <w:p>
            <w:pPr>
              <w:spacing w:line="360" w:lineRule="auto"/>
              <w:ind w:firstLine="482" w:firstLineChars="200"/>
              <w:rPr>
                <w:b/>
                <w:color w:val="auto"/>
                <w:sz w:val="24"/>
                <w:szCs w:val="24"/>
              </w:rPr>
            </w:pPr>
            <w:r>
              <w:rPr>
                <w:rFonts w:hint="eastAsia"/>
                <w:b/>
                <w:color w:val="auto"/>
                <w:sz w:val="24"/>
                <w:szCs w:val="24"/>
              </w:rPr>
              <w:t>一、环境管理</w:t>
            </w:r>
          </w:p>
          <w:p>
            <w:pPr>
              <w:spacing w:line="360" w:lineRule="auto"/>
              <w:ind w:firstLine="480" w:firstLineChars="200"/>
              <w:rPr>
                <w:color w:val="auto"/>
                <w:sz w:val="24"/>
                <w:szCs w:val="24"/>
              </w:rPr>
            </w:pPr>
            <w:r>
              <w:rPr>
                <w:color w:val="auto"/>
                <w:sz w:val="24"/>
                <w:szCs w:val="24"/>
              </w:rPr>
              <w:t>1</w:t>
            </w:r>
            <w:r>
              <w:rPr>
                <w:rFonts w:hint="eastAsia"/>
                <w:color w:val="auto"/>
                <w:sz w:val="24"/>
                <w:szCs w:val="24"/>
              </w:rPr>
              <w:t>、环境管理机构与职责</w:t>
            </w:r>
          </w:p>
          <w:p>
            <w:pPr>
              <w:spacing w:line="360" w:lineRule="auto"/>
              <w:ind w:firstLine="480" w:firstLineChars="200"/>
              <w:rPr>
                <w:color w:val="auto"/>
                <w:sz w:val="24"/>
                <w:szCs w:val="24"/>
              </w:rPr>
            </w:pPr>
            <w:r>
              <w:rPr>
                <w:color w:val="auto"/>
                <w:sz w:val="24"/>
                <w:szCs w:val="24"/>
              </w:rPr>
              <w:t>生产运行期，公司由总经理作为总负责，指定1名副总经理分管环保。设置安全环保部，设2~3名人员负责工程的环保设施运行、节能减排、环境监测、环境污染事故处理及配合当地环保部门环保执法等工作。并将生产期间环保工作具体内容与生产部门沟通合作，由每个生产工段具体执行。通过以上环境管理机构和人员设置，公司将形成完善的环境管理机构体系。</w:t>
            </w:r>
          </w:p>
          <w:p>
            <w:pPr>
              <w:spacing w:line="360" w:lineRule="auto"/>
              <w:ind w:firstLine="480" w:firstLineChars="200"/>
              <w:rPr>
                <w:color w:val="auto"/>
                <w:sz w:val="24"/>
                <w:szCs w:val="24"/>
              </w:rPr>
            </w:pPr>
            <w:r>
              <w:rPr>
                <w:color w:val="auto"/>
                <w:sz w:val="24"/>
                <w:szCs w:val="24"/>
              </w:rPr>
              <w:t>项目环境管理机构及职责见表29。</w:t>
            </w:r>
          </w:p>
          <w:p>
            <w:pPr>
              <w:pStyle w:val="74"/>
              <w:outlineLvl w:val="9"/>
              <w:rPr>
                <w:color w:val="auto"/>
              </w:rPr>
            </w:pPr>
            <w:r>
              <w:rPr>
                <w:color w:val="auto"/>
              </w:rPr>
              <w:t>表29   环境管理机构主要职责一览表</w:t>
            </w:r>
          </w:p>
          <w:tbl>
            <w:tblPr>
              <w:tblStyle w:val="26"/>
              <w:tblW w:w="91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7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shd w:val="clear" w:color="auto" w:fill="auto"/>
                  <w:vAlign w:val="center"/>
                </w:tcPr>
                <w:p>
                  <w:pPr>
                    <w:pStyle w:val="71"/>
                    <w:rPr>
                      <w:color w:val="auto"/>
                    </w:rPr>
                  </w:pPr>
                  <w:r>
                    <w:rPr>
                      <w:color w:val="auto"/>
                    </w:rPr>
                    <w:t>实施部门</w:t>
                  </w:r>
                </w:p>
              </w:tc>
              <w:tc>
                <w:tcPr>
                  <w:tcW w:w="7925" w:type="dxa"/>
                  <w:shd w:val="clear" w:color="auto" w:fill="auto"/>
                  <w:vAlign w:val="center"/>
                </w:tcPr>
                <w:p>
                  <w:pPr>
                    <w:pStyle w:val="71"/>
                    <w:rPr>
                      <w:color w:val="auto"/>
                    </w:rPr>
                  </w:pPr>
                  <w:r>
                    <w:rPr>
                      <w:color w:val="auto"/>
                    </w:rPr>
                    <w:t>主要工作职责内容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restart"/>
                  <w:shd w:val="clear" w:color="auto" w:fill="auto"/>
                  <w:vAlign w:val="center"/>
                </w:tcPr>
                <w:p>
                  <w:pPr>
                    <w:pStyle w:val="71"/>
                    <w:rPr>
                      <w:color w:val="auto"/>
                    </w:rPr>
                  </w:pPr>
                  <w:r>
                    <w:rPr>
                      <w:color w:val="auto"/>
                    </w:rPr>
                    <w:t>安全环保部</w:t>
                  </w:r>
                </w:p>
              </w:tc>
              <w:tc>
                <w:tcPr>
                  <w:tcW w:w="7925" w:type="dxa"/>
                  <w:shd w:val="clear" w:color="auto" w:fill="auto"/>
                </w:tcPr>
                <w:p>
                  <w:pPr>
                    <w:pStyle w:val="71"/>
                    <w:jc w:val="left"/>
                    <w:rPr>
                      <w:color w:val="auto"/>
                    </w:rPr>
                  </w:pPr>
                  <w:r>
                    <w:rPr>
                      <w:color w:val="auto"/>
                    </w:rPr>
                    <w:fldChar w:fldCharType="begin"/>
                  </w:r>
                  <w:r>
                    <w:rPr>
                      <w:color w:val="auto"/>
                    </w:rPr>
                    <w:instrText xml:space="preserve"> = 1 \* GB2 </w:instrText>
                  </w:r>
                  <w:r>
                    <w:rPr>
                      <w:color w:val="auto"/>
                    </w:rPr>
                    <w:fldChar w:fldCharType="separate"/>
                  </w:r>
                  <w:r>
                    <w:rPr>
                      <w:rFonts w:hint="eastAsia" w:ascii="宋体" w:hAnsi="宋体" w:cs="宋体"/>
                      <w:color w:val="auto"/>
                    </w:rPr>
                    <w:t>⑴</w:t>
                  </w:r>
                  <w:r>
                    <w:rPr>
                      <w:color w:val="auto"/>
                    </w:rPr>
                    <w:fldChar w:fldCharType="end"/>
                  </w:r>
                  <w:r>
                    <w:rPr>
                      <w:color w:val="auto"/>
                    </w:rPr>
                    <w:t>按照国家、地方和行业环保法律法规及标准要求，制定环境管理制度，明确各部门、车间环保职责，监督、检查各产污环节污染防治措施落实及环保设施运行情况；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continue"/>
                  <w:shd w:val="clear" w:color="auto" w:fill="auto"/>
                </w:tcPr>
                <w:p>
                  <w:pPr>
                    <w:pStyle w:val="71"/>
                    <w:rPr>
                      <w:color w:val="auto"/>
                    </w:rPr>
                  </w:pPr>
                </w:p>
              </w:tc>
              <w:tc>
                <w:tcPr>
                  <w:tcW w:w="7925" w:type="dxa"/>
                  <w:shd w:val="clear" w:color="auto" w:fill="auto"/>
                </w:tcPr>
                <w:p>
                  <w:pPr>
                    <w:pStyle w:val="71"/>
                    <w:jc w:val="left"/>
                    <w:rPr>
                      <w:color w:val="auto"/>
                    </w:rPr>
                  </w:pPr>
                  <w:r>
                    <w:rPr>
                      <w:color w:val="auto"/>
                    </w:rPr>
                    <w:fldChar w:fldCharType="begin"/>
                  </w:r>
                  <w:r>
                    <w:rPr>
                      <w:color w:val="auto"/>
                    </w:rPr>
                    <w:instrText xml:space="preserve"> = 2 \* GB2 </w:instrText>
                  </w:r>
                  <w:r>
                    <w:rPr>
                      <w:color w:val="auto"/>
                    </w:rPr>
                    <w:fldChar w:fldCharType="separate"/>
                  </w:r>
                  <w:r>
                    <w:rPr>
                      <w:rFonts w:hint="eastAsia" w:ascii="宋体" w:hAnsi="宋体" w:cs="宋体"/>
                      <w:color w:val="auto"/>
                    </w:rPr>
                    <w:t>⑵</w:t>
                  </w:r>
                  <w:r>
                    <w:rPr>
                      <w:color w:val="auto"/>
                    </w:rPr>
                    <w:fldChar w:fldCharType="end"/>
                  </w:r>
                  <w:r>
                    <w:rPr>
                      <w:color w:val="auto"/>
                    </w:rPr>
                    <w:t>编制企业内部环境保护和环保产业发展规划及年度计划，落实环保治理工程方案；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continue"/>
                  <w:shd w:val="clear" w:color="auto" w:fill="auto"/>
                </w:tcPr>
                <w:p>
                  <w:pPr>
                    <w:pStyle w:val="71"/>
                    <w:rPr>
                      <w:color w:val="auto"/>
                    </w:rPr>
                  </w:pPr>
                </w:p>
              </w:tc>
              <w:tc>
                <w:tcPr>
                  <w:tcW w:w="7925" w:type="dxa"/>
                  <w:shd w:val="clear" w:color="auto" w:fill="auto"/>
                </w:tcPr>
                <w:p>
                  <w:pPr>
                    <w:pStyle w:val="71"/>
                    <w:jc w:val="left"/>
                    <w:rPr>
                      <w:color w:val="auto"/>
                    </w:rPr>
                  </w:pPr>
                  <w:r>
                    <w:rPr>
                      <w:color w:val="auto"/>
                    </w:rPr>
                    <w:fldChar w:fldCharType="begin"/>
                  </w:r>
                  <w:r>
                    <w:rPr>
                      <w:color w:val="auto"/>
                    </w:rPr>
                    <w:instrText xml:space="preserve"> = 3 \* GB2 </w:instrText>
                  </w:r>
                  <w:r>
                    <w:rPr>
                      <w:color w:val="auto"/>
                    </w:rPr>
                    <w:fldChar w:fldCharType="separate"/>
                  </w:r>
                  <w:r>
                    <w:rPr>
                      <w:rFonts w:hint="eastAsia" w:ascii="宋体" w:hAnsi="宋体" w:cs="宋体"/>
                      <w:color w:val="auto"/>
                    </w:rPr>
                    <w:t>⑶</w:t>
                  </w:r>
                  <w:r>
                    <w:rPr>
                      <w:color w:val="auto"/>
                    </w:rPr>
                    <w:fldChar w:fldCharType="end"/>
                  </w:r>
                  <w:r>
                    <w:rPr>
                      <w:color w:val="auto"/>
                    </w:rPr>
                    <w:t>组织、配合有资质环境监测部门开展与污染源监测，组织对工程竣工验收；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continue"/>
                  <w:shd w:val="clear" w:color="auto" w:fill="auto"/>
                </w:tcPr>
                <w:p>
                  <w:pPr>
                    <w:pStyle w:val="71"/>
                    <w:rPr>
                      <w:color w:val="auto"/>
                    </w:rPr>
                  </w:pPr>
                </w:p>
              </w:tc>
              <w:tc>
                <w:tcPr>
                  <w:tcW w:w="7925" w:type="dxa"/>
                  <w:shd w:val="clear" w:color="auto" w:fill="auto"/>
                </w:tcPr>
                <w:p>
                  <w:pPr>
                    <w:pStyle w:val="71"/>
                    <w:jc w:val="left"/>
                    <w:rPr>
                      <w:color w:val="auto"/>
                    </w:rPr>
                  </w:pPr>
                  <w:r>
                    <w:rPr>
                      <w:color w:val="auto"/>
                    </w:rPr>
                    <w:fldChar w:fldCharType="begin"/>
                  </w:r>
                  <w:r>
                    <w:rPr>
                      <w:color w:val="auto"/>
                    </w:rPr>
                    <w:instrText xml:space="preserve"> = 4 \* GB2 </w:instrText>
                  </w:r>
                  <w:r>
                    <w:rPr>
                      <w:color w:val="auto"/>
                    </w:rPr>
                    <w:fldChar w:fldCharType="separate"/>
                  </w:r>
                  <w:r>
                    <w:rPr>
                      <w:rFonts w:hint="eastAsia" w:ascii="宋体" w:hAnsi="宋体" w:cs="宋体"/>
                      <w:color w:val="auto"/>
                    </w:rPr>
                    <w:t>⑷</w:t>
                  </w:r>
                  <w:r>
                    <w:rPr>
                      <w:color w:val="auto"/>
                    </w:rPr>
                    <w:fldChar w:fldCharType="end"/>
                  </w:r>
                  <w:r>
                    <w:rPr>
                      <w:color w:val="auto"/>
                    </w:rPr>
                    <w:t>强化资源能源管理，实现废物减量化和再资源化，坚持环境污染有效预防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continue"/>
                  <w:shd w:val="clear" w:color="auto" w:fill="auto"/>
                </w:tcPr>
                <w:p>
                  <w:pPr>
                    <w:pStyle w:val="71"/>
                    <w:rPr>
                      <w:color w:val="auto"/>
                    </w:rPr>
                  </w:pPr>
                </w:p>
              </w:tc>
              <w:tc>
                <w:tcPr>
                  <w:tcW w:w="7925" w:type="dxa"/>
                  <w:shd w:val="clear" w:color="auto" w:fill="auto"/>
                </w:tcPr>
                <w:p>
                  <w:pPr>
                    <w:pStyle w:val="71"/>
                    <w:jc w:val="left"/>
                    <w:rPr>
                      <w:color w:val="auto"/>
                    </w:rPr>
                  </w:pPr>
                  <w:r>
                    <w:rPr>
                      <w:color w:val="auto"/>
                    </w:rPr>
                    <w:fldChar w:fldCharType="begin"/>
                  </w:r>
                  <w:r>
                    <w:rPr>
                      <w:color w:val="auto"/>
                    </w:rPr>
                    <w:instrText xml:space="preserve"> = 5 \* GB2 </w:instrText>
                  </w:r>
                  <w:r>
                    <w:rPr>
                      <w:color w:val="auto"/>
                    </w:rPr>
                    <w:fldChar w:fldCharType="separate"/>
                  </w:r>
                  <w:r>
                    <w:rPr>
                      <w:rFonts w:hint="eastAsia" w:ascii="宋体" w:hAnsi="宋体" w:cs="宋体"/>
                      <w:color w:val="auto"/>
                    </w:rPr>
                    <w:t>⑸</w:t>
                  </w:r>
                  <w:r>
                    <w:rPr>
                      <w:color w:val="auto"/>
                    </w:rPr>
                    <w:fldChar w:fldCharType="end"/>
                  </w:r>
                  <w:r>
                    <w:rPr>
                      <w:color w:val="auto"/>
                    </w:rPr>
                    <w:t>配合公司领导完成环保责任目标，确保污染物达标排放；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continue"/>
                  <w:shd w:val="clear" w:color="auto" w:fill="auto"/>
                </w:tcPr>
                <w:p>
                  <w:pPr>
                    <w:pStyle w:val="71"/>
                    <w:rPr>
                      <w:color w:val="auto"/>
                    </w:rPr>
                  </w:pPr>
                </w:p>
              </w:tc>
              <w:tc>
                <w:tcPr>
                  <w:tcW w:w="7925" w:type="dxa"/>
                  <w:shd w:val="clear" w:color="auto" w:fill="auto"/>
                </w:tcPr>
                <w:p>
                  <w:pPr>
                    <w:pStyle w:val="71"/>
                    <w:jc w:val="left"/>
                    <w:rPr>
                      <w:color w:val="auto"/>
                    </w:rPr>
                  </w:pPr>
                  <w:r>
                    <w:rPr>
                      <w:color w:val="auto"/>
                    </w:rPr>
                    <w:fldChar w:fldCharType="begin"/>
                  </w:r>
                  <w:r>
                    <w:rPr>
                      <w:color w:val="auto"/>
                    </w:rPr>
                    <w:instrText xml:space="preserve"> = 6 \* GB2 </w:instrText>
                  </w:r>
                  <w:r>
                    <w:rPr>
                      <w:color w:val="auto"/>
                    </w:rPr>
                    <w:fldChar w:fldCharType="separate"/>
                  </w:r>
                  <w:r>
                    <w:rPr>
                      <w:rFonts w:hint="eastAsia" w:ascii="宋体" w:hAnsi="宋体" w:cs="宋体"/>
                      <w:color w:val="auto"/>
                    </w:rPr>
                    <w:t>⑹</w:t>
                  </w:r>
                  <w:r>
                    <w:rPr>
                      <w:color w:val="auto"/>
                    </w:rPr>
                    <w:fldChar w:fldCharType="end"/>
                  </w:r>
                  <w:r>
                    <w:rPr>
                      <w:color w:val="auto"/>
                    </w:rPr>
                    <w:t>健全施工期环境监理和运行期环境保护档案，负责厂区日常环境保护与绿化管理，按照国家有关规定及时、准确地上报企业环境报表和环境质量报告书；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restart"/>
                  <w:shd w:val="clear" w:color="auto" w:fill="auto"/>
                  <w:vAlign w:val="center"/>
                </w:tcPr>
                <w:p>
                  <w:pPr>
                    <w:pStyle w:val="71"/>
                    <w:rPr>
                      <w:color w:val="auto"/>
                    </w:rPr>
                  </w:pPr>
                  <w:r>
                    <w:rPr>
                      <w:color w:val="auto"/>
                    </w:rPr>
                    <w:t>安全环保部</w:t>
                  </w:r>
                </w:p>
              </w:tc>
              <w:tc>
                <w:tcPr>
                  <w:tcW w:w="7925" w:type="dxa"/>
                  <w:shd w:val="clear" w:color="auto" w:fill="auto"/>
                </w:tcPr>
                <w:p>
                  <w:pPr>
                    <w:pStyle w:val="71"/>
                    <w:jc w:val="left"/>
                    <w:rPr>
                      <w:color w:val="auto"/>
                    </w:rPr>
                  </w:pPr>
                  <w:r>
                    <w:rPr>
                      <w:color w:val="auto"/>
                    </w:rPr>
                    <w:fldChar w:fldCharType="begin"/>
                  </w:r>
                  <w:r>
                    <w:rPr>
                      <w:color w:val="auto"/>
                    </w:rPr>
                    <w:instrText xml:space="preserve"> = 7 \* GB2 </w:instrText>
                  </w:r>
                  <w:r>
                    <w:rPr>
                      <w:color w:val="auto"/>
                    </w:rPr>
                    <w:fldChar w:fldCharType="separate"/>
                  </w:r>
                  <w:r>
                    <w:rPr>
                      <w:rFonts w:hint="eastAsia" w:ascii="宋体" w:hAnsi="宋体" w:cs="宋体"/>
                      <w:color w:val="auto"/>
                    </w:rPr>
                    <w:t>⑺</w:t>
                  </w:r>
                  <w:r>
                    <w:rPr>
                      <w:color w:val="auto"/>
                    </w:rPr>
                    <w:fldChar w:fldCharType="end"/>
                  </w:r>
                  <w:r>
                    <w:rPr>
                      <w:color w:val="auto"/>
                    </w:rPr>
                    <w:t>处理与群众环境纠纷，组织对突发性污染事故善后处理，追查原因并及时上报；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continue"/>
                  <w:shd w:val="clear" w:color="auto" w:fill="auto"/>
                </w:tcPr>
                <w:p>
                  <w:pPr>
                    <w:pStyle w:val="71"/>
                    <w:rPr>
                      <w:color w:val="auto"/>
                    </w:rPr>
                  </w:pPr>
                </w:p>
              </w:tc>
              <w:tc>
                <w:tcPr>
                  <w:tcW w:w="7925" w:type="dxa"/>
                  <w:shd w:val="clear" w:color="auto" w:fill="auto"/>
                </w:tcPr>
                <w:p>
                  <w:pPr>
                    <w:pStyle w:val="71"/>
                    <w:jc w:val="left"/>
                    <w:rPr>
                      <w:color w:val="auto"/>
                    </w:rPr>
                  </w:pPr>
                  <w:r>
                    <w:rPr>
                      <w:color w:val="auto"/>
                    </w:rPr>
                    <w:fldChar w:fldCharType="begin"/>
                  </w:r>
                  <w:r>
                    <w:rPr>
                      <w:color w:val="auto"/>
                    </w:rPr>
                    <w:instrText xml:space="preserve"> = 8 \* GB2 </w:instrText>
                  </w:r>
                  <w:r>
                    <w:rPr>
                      <w:color w:val="auto"/>
                    </w:rPr>
                    <w:fldChar w:fldCharType="separate"/>
                  </w:r>
                  <w:r>
                    <w:rPr>
                      <w:rFonts w:hint="eastAsia" w:ascii="宋体" w:hAnsi="宋体" w:cs="宋体"/>
                      <w:color w:val="auto"/>
                    </w:rPr>
                    <w:t>⑻</w:t>
                  </w:r>
                  <w:r>
                    <w:rPr>
                      <w:color w:val="auto"/>
                    </w:rPr>
                    <w:fldChar w:fldCharType="end"/>
                  </w:r>
                  <w:r>
                    <w:rPr>
                      <w:color w:val="auto"/>
                    </w:rPr>
                    <w:t>负责提出、审查有关环境保护的技术改造方案和治理方案，负责提出、审查各项清洁生产方案和组织清洁生产方案的实施；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continue"/>
                  <w:shd w:val="clear" w:color="auto" w:fill="auto"/>
                </w:tcPr>
                <w:p>
                  <w:pPr>
                    <w:pStyle w:val="71"/>
                    <w:rPr>
                      <w:color w:val="auto"/>
                    </w:rPr>
                  </w:pPr>
                </w:p>
              </w:tc>
              <w:tc>
                <w:tcPr>
                  <w:tcW w:w="7925" w:type="dxa"/>
                  <w:shd w:val="clear" w:color="auto" w:fill="auto"/>
                </w:tcPr>
                <w:p>
                  <w:pPr>
                    <w:pStyle w:val="71"/>
                    <w:jc w:val="left"/>
                    <w:rPr>
                      <w:color w:val="auto"/>
                    </w:rPr>
                  </w:pPr>
                  <w:r>
                    <w:rPr>
                      <w:color w:val="auto"/>
                    </w:rPr>
                    <w:fldChar w:fldCharType="begin"/>
                  </w:r>
                  <w:r>
                    <w:rPr>
                      <w:color w:val="auto"/>
                    </w:rPr>
                    <w:instrText xml:space="preserve"> = 9 \* GB2 </w:instrText>
                  </w:r>
                  <w:r>
                    <w:rPr>
                      <w:color w:val="auto"/>
                    </w:rPr>
                    <w:fldChar w:fldCharType="separate"/>
                  </w:r>
                  <w:r>
                    <w:rPr>
                      <w:rFonts w:hint="eastAsia" w:ascii="宋体" w:hAnsi="宋体" w:cs="宋体"/>
                      <w:color w:val="auto"/>
                    </w:rPr>
                    <w:t>⑼</w:t>
                  </w:r>
                  <w:r>
                    <w:rPr>
                      <w:color w:val="auto"/>
                    </w:rPr>
                    <w:fldChar w:fldCharType="end"/>
                  </w:r>
                  <w:r>
                    <w:rPr>
                      <w:color w:val="auto"/>
                    </w:rPr>
                    <w:t>负责环保宣传与员工培训，提高环保意识教育，确保实现清洁生产、持续改进；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continue"/>
                  <w:shd w:val="clear" w:color="auto" w:fill="auto"/>
                </w:tcPr>
                <w:p>
                  <w:pPr>
                    <w:pStyle w:val="71"/>
                    <w:rPr>
                      <w:color w:val="auto"/>
                    </w:rPr>
                  </w:pPr>
                </w:p>
              </w:tc>
              <w:tc>
                <w:tcPr>
                  <w:tcW w:w="7925" w:type="dxa"/>
                  <w:shd w:val="clear" w:color="auto" w:fill="auto"/>
                </w:tcPr>
                <w:p>
                  <w:pPr>
                    <w:pStyle w:val="71"/>
                    <w:jc w:val="left"/>
                    <w:rPr>
                      <w:color w:val="auto"/>
                    </w:rPr>
                  </w:pPr>
                  <w:r>
                    <w:rPr>
                      <w:color w:val="auto"/>
                    </w:rPr>
                    <w:fldChar w:fldCharType="begin"/>
                  </w:r>
                  <w:r>
                    <w:rPr>
                      <w:color w:val="auto"/>
                    </w:rPr>
                    <w:instrText xml:space="preserve"> = 10 \* GB2 </w:instrText>
                  </w:r>
                  <w:r>
                    <w:rPr>
                      <w:color w:val="auto"/>
                    </w:rPr>
                    <w:fldChar w:fldCharType="separate"/>
                  </w:r>
                  <w:r>
                    <w:rPr>
                      <w:rFonts w:hint="eastAsia" w:ascii="宋体" w:hAnsi="宋体" w:cs="宋体"/>
                      <w:color w:val="auto"/>
                    </w:rPr>
                    <w:t>⑽</w:t>
                  </w:r>
                  <w:r>
                    <w:rPr>
                      <w:color w:val="auto"/>
                    </w:rPr>
                    <w:fldChar w:fldCharType="end"/>
                  </w:r>
                  <w:r>
                    <w:rPr>
                      <w:color w:val="auto"/>
                    </w:rPr>
                    <w:t>负责本企业环境管理工作，主动接受上级环保行政主管部门的工作指导与检查。</w:t>
                  </w:r>
                </w:p>
              </w:tc>
            </w:tr>
          </w:tbl>
          <w:p>
            <w:pPr>
              <w:pStyle w:val="5"/>
              <w:spacing w:before="0" w:after="0" w:line="360" w:lineRule="auto"/>
              <w:ind w:firstLine="480" w:firstLineChars="200"/>
              <w:rPr>
                <w:b w:val="0"/>
                <w:color w:val="auto"/>
                <w:sz w:val="24"/>
                <w:szCs w:val="24"/>
              </w:rPr>
            </w:pPr>
            <w:r>
              <w:rPr>
                <w:b w:val="0"/>
                <w:color w:val="auto"/>
                <w:sz w:val="24"/>
                <w:szCs w:val="24"/>
              </w:rPr>
              <w:t>2</w:t>
            </w:r>
            <w:r>
              <w:rPr>
                <w:rFonts w:hint="eastAsia"/>
                <w:b w:val="0"/>
                <w:color w:val="auto"/>
                <w:sz w:val="24"/>
                <w:szCs w:val="24"/>
              </w:rPr>
              <w:t>、环境保护管理制度</w:t>
            </w:r>
          </w:p>
          <w:p>
            <w:pPr>
              <w:ind w:firstLine="480"/>
              <w:rPr>
                <w:color w:val="auto"/>
                <w:sz w:val="24"/>
                <w:szCs w:val="24"/>
              </w:rPr>
            </w:pPr>
            <w:r>
              <w:rPr>
                <w:color w:val="auto"/>
                <w:sz w:val="24"/>
                <w:szCs w:val="24"/>
              </w:rPr>
              <w:t>项目环境保护管理制度见表30。</w:t>
            </w:r>
          </w:p>
          <w:p>
            <w:pPr>
              <w:pStyle w:val="74"/>
              <w:outlineLvl w:val="9"/>
              <w:rPr>
                <w:color w:val="auto"/>
              </w:rPr>
            </w:pPr>
            <w:r>
              <w:rPr>
                <w:color w:val="auto"/>
              </w:rPr>
              <w:t>表30  项目环境保护管理制度一览表</w:t>
            </w:r>
          </w:p>
          <w:tbl>
            <w:tblPr>
              <w:tblStyle w:val="26"/>
              <w:tblW w:w="91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7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shd w:val="clear" w:color="auto" w:fill="auto"/>
                  <w:vAlign w:val="center"/>
                </w:tcPr>
                <w:p>
                  <w:pPr>
                    <w:pStyle w:val="71"/>
                    <w:rPr>
                      <w:color w:val="auto"/>
                    </w:rPr>
                  </w:pPr>
                  <w:r>
                    <w:rPr>
                      <w:color w:val="auto"/>
                    </w:rPr>
                    <w:t>实施部门</w:t>
                  </w:r>
                </w:p>
              </w:tc>
              <w:tc>
                <w:tcPr>
                  <w:tcW w:w="7925" w:type="dxa"/>
                  <w:shd w:val="clear" w:color="auto" w:fill="auto"/>
                  <w:vAlign w:val="center"/>
                </w:tcPr>
                <w:p>
                  <w:pPr>
                    <w:pStyle w:val="71"/>
                    <w:rPr>
                      <w:color w:val="auto"/>
                    </w:rPr>
                  </w:pPr>
                  <w:r>
                    <w:rPr>
                      <w:color w:val="auto"/>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shd w:val="clear" w:color="auto" w:fill="auto"/>
                  <w:vAlign w:val="center"/>
                </w:tcPr>
                <w:p>
                  <w:pPr>
                    <w:pStyle w:val="71"/>
                    <w:rPr>
                      <w:color w:val="auto"/>
                    </w:rPr>
                  </w:pPr>
                  <w:r>
                    <w:rPr>
                      <w:color w:val="auto"/>
                    </w:rPr>
                    <w:t>安全环保部</w:t>
                  </w:r>
                </w:p>
              </w:tc>
              <w:tc>
                <w:tcPr>
                  <w:tcW w:w="7925" w:type="dxa"/>
                  <w:shd w:val="clear" w:color="auto" w:fill="auto"/>
                </w:tcPr>
                <w:p>
                  <w:pPr>
                    <w:pStyle w:val="71"/>
                    <w:jc w:val="left"/>
                    <w:rPr>
                      <w:color w:val="auto"/>
                    </w:rPr>
                  </w:pPr>
                  <w:r>
                    <w:rPr>
                      <w:color w:val="auto"/>
                    </w:rPr>
                    <w:fldChar w:fldCharType="begin"/>
                  </w:r>
                  <w:r>
                    <w:rPr>
                      <w:color w:val="auto"/>
                    </w:rPr>
                    <w:instrText xml:space="preserve"> = 1 \* GB2 </w:instrText>
                  </w:r>
                  <w:r>
                    <w:rPr>
                      <w:color w:val="auto"/>
                    </w:rPr>
                    <w:fldChar w:fldCharType="separate"/>
                  </w:r>
                  <w:r>
                    <w:rPr>
                      <w:rFonts w:hint="eastAsia" w:ascii="宋体" w:hAnsi="宋体" w:cs="宋体"/>
                      <w:color w:val="auto"/>
                    </w:rPr>
                    <w:t>⑴</w:t>
                  </w:r>
                  <w:r>
                    <w:rPr>
                      <w:color w:val="auto"/>
                    </w:rPr>
                    <w:fldChar w:fldCharType="end"/>
                  </w:r>
                  <w:r>
                    <w:rPr>
                      <w:color w:val="auto"/>
                    </w:rPr>
                    <w:t>参照HSE原则要求，制定内部环境保护审核、例会制度；</w:t>
                  </w:r>
                </w:p>
                <w:p>
                  <w:pPr>
                    <w:pStyle w:val="71"/>
                    <w:jc w:val="left"/>
                    <w:rPr>
                      <w:color w:val="auto"/>
                    </w:rPr>
                  </w:pPr>
                  <w:r>
                    <w:rPr>
                      <w:color w:val="auto"/>
                    </w:rPr>
                    <w:fldChar w:fldCharType="begin"/>
                  </w:r>
                  <w:r>
                    <w:rPr>
                      <w:color w:val="auto"/>
                    </w:rPr>
                    <w:instrText xml:space="preserve"> = 2 \* GB2 </w:instrText>
                  </w:r>
                  <w:r>
                    <w:rPr>
                      <w:color w:val="auto"/>
                    </w:rPr>
                    <w:fldChar w:fldCharType="separate"/>
                  </w:r>
                  <w:r>
                    <w:rPr>
                      <w:rFonts w:hint="eastAsia" w:ascii="宋体" w:hAnsi="宋体" w:cs="宋体"/>
                      <w:color w:val="auto"/>
                    </w:rPr>
                    <w:t>⑵</w:t>
                  </w:r>
                  <w:r>
                    <w:rPr>
                      <w:color w:val="auto"/>
                    </w:rPr>
                    <w:fldChar w:fldCharType="end"/>
                  </w:r>
                  <w:r>
                    <w:rPr>
                      <w:color w:val="auto"/>
                    </w:rPr>
                    <w:t>环境质量管理目标与指标统计考核制度；</w:t>
                  </w:r>
                </w:p>
                <w:p>
                  <w:pPr>
                    <w:pStyle w:val="71"/>
                    <w:jc w:val="left"/>
                    <w:rPr>
                      <w:color w:val="auto"/>
                    </w:rPr>
                  </w:pPr>
                  <w:r>
                    <w:rPr>
                      <w:color w:val="auto"/>
                    </w:rPr>
                    <w:fldChar w:fldCharType="begin"/>
                  </w:r>
                  <w:r>
                    <w:rPr>
                      <w:color w:val="auto"/>
                    </w:rPr>
                    <w:instrText xml:space="preserve"> = 3 \* GB2 </w:instrText>
                  </w:r>
                  <w:r>
                    <w:rPr>
                      <w:color w:val="auto"/>
                    </w:rPr>
                    <w:fldChar w:fldCharType="separate"/>
                  </w:r>
                  <w:r>
                    <w:rPr>
                      <w:rFonts w:hint="eastAsia" w:ascii="宋体" w:hAnsi="宋体" w:cs="宋体"/>
                      <w:color w:val="auto"/>
                    </w:rPr>
                    <w:t>⑶</w:t>
                  </w:r>
                  <w:r>
                    <w:rPr>
                      <w:color w:val="auto"/>
                    </w:rPr>
                    <w:fldChar w:fldCharType="end"/>
                  </w:r>
                  <w:r>
                    <w:rPr>
                      <w:color w:val="auto"/>
                    </w:rPr>
                    <w:t>清洁生产管理与审计制度；</w:t>
                  </w:r>
                </w:p>
                <w:p>
                  <w:pPr>
                    <w:pStyle w:val="71"/>
                    <w:jc w:val="left"/>
                    <w:rPr>
                      <w:color w:val="auto"/>
                    </w:rPr>
                  </w:pPr>
                  <w:r>
                    <w:rPr>
                      <w:color w:val="auto"/>
                    </w:rPr>
                    <w:fldChar w:fldCharType="begin"/>
                  </w:r>
                  <w:r>
                    <w:rPr>
                      <w:color w:val="auto"/>
                    </w:rPr>
                    <w:instrText xml:space="preserve"> = 4 \* GB2 </w:instrText>
                  </w:r>
                  <w:r>
                    <w:rPr>
                      <w:color w:val="auto"/>
                    </w:rPr>
                    <w:fldChar w:fldCharType="separate"/>
                  </w:r>
                  <w:r>
                    <w:rPr>
                      <w:rFonts w:hint="eastAsia" w:ascii="宋体" w:hAnsi="宋体" w:cs="宋体"/>
                      <w:color w:val="auto"/>
                    </w:rPr>
                    <w:t>⑷</w:t>
                  </w:r>
                  <w:r>
                    <w:rPr>
                      <w:color w:val="auto"/>
                    </w:rPr>
                    <w:fldChar w:fldCharType="end"/>
                  </w:r>
                  <w:r>
                    <w:rPr>
                      <w:color w:val="auto"/>
                    </w:rPr>
                    <w:t>内部环境管理、监督与检查制度；</w:t>
                  </w:r>
                </w:p>
                <w:p>
                  <w:pPr>
                    <w:pStyle w:val="71"/>
                    <w:jc w:val="left"/>
                    <w:rPr>
                      <w:color w:val="auto"/>
                    </w:rPr>
                  </w:pPr>
                  <w:r>
                    <w:rPr>
                      <w:color w:val="auto"/>
                    </w:rPr>
                    <w:fldChar w:fldCharType="begin"/>
                  </w:r>
                  <w:r>
                    <w:rPr>
                      <w:color w:val="auto"/>
                    </w:rPr>
                    <w:instrText xml:space="preserve"> = 5 \* GB2 </w:instrText>
                  </w:r>
                  <w:r>
                    <w:rPr>
                      <w:color w:val="auto"/>
                    </w:rPr>
                    <w:fldChar w:fldCharType="separate"/>
                  </w:r>
                  <w:r>
                    <w:rPr>
                      <w:rFonts w:hint="eastAsia" w:ascii="宋体" w:hAnsi="宋体" w:cs="宋体"/>
                      <w:color w:val="auto"/>
                    </w:rPr>
                    <w:t>⑸</w:t>
                  </w:r>
                  <w:r>
                    <w:rPr>
                      <w:color w:val="auto"/>
                    </w:rPr>
                    <w:fldChar w:fldCharType="end"/>
                  </w:r>
                  <w:r>
                    <w:rPr>
                      <w:color w:val="auto"/>
                    </w:rPr>
                    <w:t>环保设施与设备定期检查、保养和维护管理制度；</w:t>
                  </w:r>
                </w:p>
                <w:p>
                  <w:pPr>
                    <w:pStyle w:val="71"/>
                    <w:jc w:val="left"/>
                    <w:rPr>
                      <w:color w:val="auto"/>
                    </w:rPr>
                  </w:pPr>
                  <w:r>
                    <w:rPr>
                      <w:color w:val="auto"/>
                    </w:rPr>
                    <w:fldChar w:fldCharType="begin"/>
                  </w:r>
                  <w:r>
                    <w:rPr>
                      <w:color w:val="auto"/>
                    </w:rPr>
                    <w:instrText xml:space="preserve"> = 6 \* GB2 </w:instrText>
                  </w:r>
                  <w:r>
                    <w:rPr>
                      <w:color w:val="auto"/>
                    </w:rPr>
                    <w:fldChar w:fldCharType="separate"/>
                  </w:r>
                  <w:r>
                    <w:rPr>
                      <w:rFonts w:hint="eastAsia" w:ascii="宋体" w:hAnsi="宋体" w:cs="宋体"/>
                      <w:color w:val="auto"/>
                    </w:rPr>
                    <w:t>⑹</w:t>
                  </w:r>
                  <w:r>
                    <w:rPr>
                      <w:color w:val="auto"/>
                    </w:rPr>
                    <w:fldChar w:fldCharType="end"/>
                  </w:r>
                  <w:r>
                    <w:rPr>
                      <w:color w:val="auto"/>
                    </w:rPr>
                    <w:t>环境保护定期、不定期监测与污染源监控计划制度；</w:t>
                  </w:r>
                </w:p>
                <w:p>
                  <w:pPr>
                    <w:pStyle w:val="71"/>
                    <w:jc w:val="left"/>
                    <w:rPr>
                      <w:color w:val="auto"/>
                    </w:rPr>
                  </w:pPr>
                  <w:r>
                    <w:rPr>
                      <w:color w:val="auto"/>
                    </w:rPr>
                    <w:fldChar w:fldCharType="begin"/>
                  </w:r>
                  <w:r>
                    <w:rPr>
                      <w:color w:val="auto"/>
                    </w:rPr>
                    <w:instrText xml:space="preserve"> = 7 \* GB2 </w:instrText>
                  </w:r>
                  <w:r>
                    <w:rPr>
                      <w:color w:val="auto"/>
                    </w:rPr>
                    <w:fldChar w:fldCharType="separate"/>
                  </w:r>
                  <w:r>
                    <w:rPr>
                      <w:rFonts w:hint="eastAsia" w:ascii="宋体" w:hAnsi="宋体" w:cs="宋体"/>
                      <w:color w:val="auto"/>
                    </w:rPr>
                    <w:t>⑺</w:t>
                  </w:r>
                  <w:r>
                    <w:rPr>
                      <w:color w:val="auto"/>
                    </w:rPr>
                    <w:fldChar w:fldCharType="end"/>
                  </w:r>
                  <w:r>
                    <w:rPr>
                      <w:color w:val="auto"/>
                    </w:rPr>
                    <w:t>环境保护档案管理与环境污染事故应急处置管理规定；</w:t>
                  </w:r>
                </w:p>
                <w:p>
                  <w:pPr>
                    <w:pStyle w:val="71"/>
                    <w:jc w:val="left"/>
                    <w:rPr>
                      <w:color w:val="auto"/>
                    </w:rPr>
                  </w:pPr>
                  <w:r>
                    <w:rPr>
                      <w:color w:val="auto"/>
                    </w:rPr>
                    <w:fldChar w:fldCharType="begin"/>
                  </w:r>
                  <w:r>
                    <w:rPr>
                      <w:color w:val="auto"/>
                    </w:rPr>
                    <w:instrText xml:space="preserve"> = 8 \* GB2 </w:instrText>
                  </w:r>
                  <w:r>
                    <w:rPr>
                      <w:color w:val="auto"/>
                    </w:rPr>
                    <w:fldChar w:fldCharType="separate"/>
                  </w:r>
                  <w:r>
                    <w:rPr>
                      <w:rFonts w:hint="eastAsia" w:ascii="宋体" w:hAnsi="宋体" w:cs="宋体"/>
                      <w:color w:val="auto"/>
                    </w:rPr>
                    <w:t>⑻</w:t>
                  </w:r>
                  <w:r>
                    <w:rPr>
                      <w:color w:val="auto"/>
                    </w:rPr>
                    <w:fldChar w:fldCharType="end"/>
                  </w:r>
                  <w:r>
                    <w:rPr>
                      <w:color w:val="auto"/>
                    </w:rPr>
                    <w:t>危险化学品贮运、使用联单管理制度；</w:t>
                  </w:r>
                </w:p>
                <w:p>
                  <w:pPr>
                    <w:pStyle w:val="71"/>
                    <w:jc w:val="left"/>
                    <w:rPr>
                      <w:color w:val="auto"/>
                    </w:rPr>
                  </w:pPr>
                  <w:r>
                    <w:rPr>
                      <w:color w:val="auto"/>
                    </w:rPr>
                    <w:fldChar w:fldCharType="begin"/>
                  </w:r>
                  <w:r>
                    <w:rPr>
                      <w:color w:val="auto"/>
                    </w:rPr>
                    <w:instrText xml:space="preserve"> = 9 \* GB2 </w:instrText>
                  </w:r>
                  <w:r>
                    <w:rPr>
                      <w:color w:val="auto"/>
                    </w:rPr>
                    <w:fldChar w:fldCharType="separate"/>
                  </w:r>
                  <w:r>
                    <w:rPr>
                      <w:rFonts w:hint="eastAsia" w:ascii="宋体" w:hAnsi="宋体" w:cs="宋体"/>
                      <w:color w:val="auto"/>
                    </w:rPr>
                    <w:t>⑼</w:t>
                  </w:r>
                  <w:r>
                    <w:rPr>
                      <w:color w:val="auto"/>
                    </w:rPr>
                    <w:fldChar w:fldCharType="end"/>
                  </w:r>
                  <w:r>
                    <w:rPr>
                      <w:color w:val="auto"/>
                    </w:rPr>
                    <w:t>危险废物收集、贮存全过程管理制度；</w:t>
                  </w:r>
                </w:p>
                <w:p>
                  <w:pPr>
                    <w:pStyle w:val="71"/>
                    <w:jc w:val="left"/>
                    <w:rPr>
                      <w:color w:val="auto"/>
                    </w:rPr>
                  </w:pPr>
                  <w:r>
                    <w:rPr>
                      <w:color w:val="auto"/>
                    </w:rPr>
                    <w:fldChar w:fldCharType="begin"/>
                  </w:r>
                  <w:r>
                    <w:rPr>
                      <w:color w:val="auto"/>
                    </w:rPr>
                    <w:instrText xml:space="preserve"> = 10 \* GB2 </w:instrText>
                  </w:r>
                  <w:r>
                    <w:rPr>
                      <w:color w:val="auto"/>
                    </w:rPr>
                    <w:fldChar w:fldCharType="separate"/>
                  </w:r>
                  <w:r>
                    <w:rPr>
                      <w:rFonts w:hint="eastAsia" w:ascii="宋体" w:hAnsi="宋体" w:cs="宋体"/>
                      <w:color w:val="auto"/>
                    </w:rPr>
                    <w:t>⑽</w:t>
                  </w:r>
                  <w:r>
                    <w:rPr>
                      <w:color w:val="auto"/>
                    </w:rPr>
                    <w:fldChar w:fldCharType="end"/>
                  </w:r>
                  <w:r>
                    <w:rPr>
                      <w:color w:val="auto"/>
                    </w:rPr>
                    <w:t>环境风险事故报告制度；</w:t>
                  </w:r>
                </w:p>
                <w:p>
                  <w:pPr>
                    <w:pStyle w:val="71"/>
                    <w:jc w:val="left"/>
                    <w:rPr>
                      <w:color w:val="auto"/>
                    </w:rPr>
                  </w:pPr>
                  <w:r>
                    <w:rPr>
                      <w:color w:val="auto"/>
                    </w:rPr>
                    <w:fldChar w:fldCharType="begin"/>
                  </w:r>
                  <w:r>
                    <w:rPr>
                      <w:color w:val="auto"/>
                    </w:rPr>
                    <w:instrText xml:space="preserve"> = 11 \* GB2 </w:instrText>
                  </w:r>
                  <w:r>
                    <w:rPr>
                      <w:color w:val="auto"/>
                    </w:rPr>
                    <w:fldChar w:fldCharType="separate"/>
                  </w:r>
                  <w:r>
                    <w:rPr>
                      <w:rFonts w:hint="eastAsia" w:ascii="宋体" w:hAnsi="宋体" w:cs="宋体"/>
                      <w:color w:val="auto"/>
                    </w:rPr>
                    <w:t>⑾</w:t>
                  </w:r>
                  <w:r>
                    <w:rPr>
                      <w:color w:val="auto"/>
                    </w:rPr>
                    <w:fldChar w:fldCharType="end"/>
                  </w:r>
                  <w:r>
                    <w:rPr>
                      <w:color w:val="auto"/>
                    </w:rPr>
                    <w:t>环境保护宣传、教育与培训制度；</w:t>
                  </w:r>
                </w:p>
                <w:p>
                  <w:pPr>
                    <w:pStyle w:val="71"/>
                    <w:jc w:val="left"/>
                    <w:rPr>
                      <w:color w:val="auto"/>
                    </w:rPr>
                  </w:pPr>
                  <w:r>
                    <w:rPr>
                      <w:color w:val="auto"/>
                    </w:rPr>
                    <w:fldChar w:fldCharType="begin"/>
                  </w:r>
                  <w:r>
                    <w:rPr>
                      <w:color w:val="auto"/>
                    </w:rPr>
                    <w:instrText xml:space="preserve"> = 12 \* GB2 </w:instrText>
                  </w:r>
                  <w:r>
                    <w:rPr>
                      <w:color w:val="auto"/>
                    </w:rPr>
                    <w:fldChar w:fldCharType="separate"/>
                  </w:r>
                  <w:r>
                    <w:rPr>
                      <w:rFonts w:hint="eastAsia" w:ascii="宋体" w:hAnsi="宋体" w:cs="宋体"/>
                      <w:color w:val="auto"/>
                    </w:rPr>
                    <w:t>⑿</w:t>
                  </w:r>
                  <w:r>
                    <w:rPr>
                      <w:color w:val="auto"/>
                    </w:rPr>
                    <w:fldChar w:fldCharType="end"/>
                  </w:r>
                  <w:r>
                    <w:rPr>
                      <w:color w:val="auto"/>
                    </w:rPr>
                    <w:t>环境保护岗位职责奖惩制度。</w:t>
                  </w:r>
                </w:p>
              </w:tc>
            </w:tr>
          </w:tbl>
          <w:p>
            <w:pPr>
              <w:pStyle w:val="5"/>
              <w:spacing w:before="0" w:after="0" w:line="360" w:lineRule="auto"/>
              <w:ind w:firstLine="480" w:firstLineChars="200"/>
              <w:rPr>
                <w:b w:val="0"/>
                <w:color w:val="auto"/>
                <w:sz w:val="24"/>
                <w:szCs w:val="24"/>
              </w:rPr>
            </w:pPr>
            <w:bookmarkStart w:id="0" w:name="_Toc509578585"/>
            <w:bookmarkStart w:id="1" w:name="_Toc509579608"/>
            <w:bookmarkStart w:id="2" w:name="_Toc511132600"/>
            <w:r>
              <w:rPr>
                <w:b w:val="0"/>
                <w:color w:val="auto"/>
                <w:sz w:val="24"/>
                <w:szCs w:val="24"/>
              </w:rPr>
              <w:t>3</w:t>
            </w:r>
            <w:r>
              <w:rPr>
                <w:rFonts w:hint="eastAsia"/>
                <w:b w:val="0"/>
                <w:color w:val="auto"/>
                <w:sz w:val="24"/>
                <w:szCs w:val="24"/>
              </w:rPr>
              <w:t>、</w:t>
            </w:r>
            <w:r>
              <w:rPr>
                <w:b w:val="0"/>
                <w:color w:val="auto"/>
                <w:sz w:val="24"/>
                <w:szCs w:val="24"/>
              </w:rPr>
              <w:t>环境管理工作计划</w:t>
            </w:r>
            <w:bookmarkEnd w:id="0"/>
            <w:bookmarkEnd w:id="1"/>
            <w:bookmarkEnd w:id="2"/>
          </w:p>
          <w:p>
            <w:pPr>
              <w:spacing w:line="360" w:lineRule="auto"/>
              <w:ind w:firstLine="480" w:firstLineChars="200"/>
              <w:rPr>
                <w:color w:val="auto"/>
                <w:sz w:val="24"/>
                <w:szCs w:val="24"/>
              </w:rPr>
            </w:pPr>
            <w:r>
              <w:rPr>
                <w:color w:val="auto"/>
                <w:sz w:val="24"/>
                <w:szCs w:val="24"/>
              </w:rPr>
              <w:t>运营期环境管理由建设单位安全环保部负责。主要内容包括：</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1 \* GB3 </w:instrText>
            </w:r>
            <w:r>
              <w:rPr>
                <w:color w:val="auto"/>
                <w:sz w:val="24"/>
                <w:szCs w:val="24"/>
              </w:rPr>
              <w:fldChar w:fldCharType="separate"/>
            </w:r>
            <w:r>
              <w:rPr>
                <w:rFonts w:hint="eastAsia" w:ascii="宋体" w:hAnsi="宋体" w:cs="宋体"/>
                <w:color w:val="auto"/>
                <w:sz w:val="24"/>
                <w:szCs w:val="24"/>
              </w:rPr>
              <w:t>①</w:t>
            </w:r>
            <w:r>
              <w:rPr>
                <w:color w:val="auto"/>
                <w:sz w:val="24"/>
                <w:szCs w:val="24"/>
              </w:rPr>
              <w:fldChar w:fldCharType="end"/>
            </w:r>
            <w:r>
              <w:rPr>
                <w:color w:val="auto"/>
                <w:sz w:val="24"/>
                <w:szCs w:val="24"/>
              </w:rPr>
              <w:t>根据国家环保政策、标准及环境监测要求，指定该项目运营期环境保护管理规章制度和各种污染物排放控制指标；</w:t>
            </w:r>
          </w:p>
          <w:p>
            <w:pPr>
              <w:snapToGrid w:val="0"/>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2 \* GB3 </w:instrText>
            </w:r>
            <w:r>
              <w:rPr>
                <w:color w:val="auto"/>
                <w:sz w:val="24"/>
                <w:szCs w:val="24"/>
              </w:rPr>
              <w:fldChar w:fldCharType="separate"/>
            </w:r>
            <w:r>
              <w:rPr>
                <w:rFonts w:hint="eastAsia" w:ascii="宋体" w:hAnsi="宋体" w:cs="宋体"/>
                <w:color w:val="auto"/>
                <w:sz w:val="24"/>
                <w:szCs w:val="24"/>
              </w:rPr>
              <w:t>②</w:t>
            </w:r>
            <w:r>
              <w:rPr>
                <w:color w:val="auto"/>
                <w:sz w:val="24"/>
                <w:szCs w:val="24"/>
              </w:rPr>
              <w:fldChar w:fldCharType="end"/>
            </w:r>
            <w:r>
              <w:rPr>
                <w:color w:val="auto"/>
                <w:sz w:val="24"/>
                <w:szCs w:val="24"/>
              </w:rPr>
              <w:t>负责该项目所有环保设施的日常运行与管理，保障环保设施正常运行，并对环保设施的改进提出积极的建议；</w:t>
            </w:r>
          </w:p>
          <w:p>
            <w:pPr>
              <w:snapToGrid w:val="0"/>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3 \* GB3 </w:instrText>
            </w:r>
            <w:r>
              <w:rPr>
                <w:color w:val="auto"/>
                <w:sz w:val="24"/>
                <w:szCs w:val="24"/>
              </w:rPr>
              <w:fldChar w:fldCharType="separate"/>
            </w:r>
            <w:r>
              <w:rPr>
                <w:rFonts w:hint="eastAsia" w:ascii="宋体" w:hAnsi="宋体" w:cs="宋体"/>
                <w:color w:val="auto"/>
                <w:sz w:val="24"/>
                <w:szCs w:val="24"/>
              </w:rPr>
              <w:t>③</w:t>
            </w:r>
            <w:r>
              <w:rPr>
                <w:color w:val="auto"/>
                <w:sz w:val="24"/>
                <w:szCs w:val="24"/>
              </w:rPr>
              <w:fldChar w:fldCharType="end"/>
            </w:r>
            <w:r>
              <w:rPr>
                <w:color w:val="auto"/>
                <w:sz w:val="24"/>
                <w:szCs w:val="24"/>
              </w:rPr>
              <w:t>负责该项目运行期环境监测工作，及时掌握该项目污染状况，整理监测数据，建立污染源档案；</w:t>
            </w:r>
          </w:p>
          <w:p>
            <w:pPr>
              <w:snapToGrid w:val="0"/>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4 \* GB3 </w:instrText>
            </w:r>
            <w:r>
              <w:rPr>
                <w:color w:val="auto"/>
                <w:sz w:val="24"/>
                <w:szCs w:val="24"/>
              </w:rPr>
              <w:fldChar w:fldCharType="separate"/>
            </w:r>
            <w:r>
              <w:rPr>
                <w:rFonts w:hint="eastAsia" w:ascii="宋体" w:hAnsi="宋体" w:cs="宋体"/>
                <w:color w:val="auto"/>
                <w:sz w:val="24"/>
                <w:szCs w:val="24"/>
              </w:rPr>
              <w:t>④</w:t>
            </w:r>
            <w:r>
              <w:rPr>
                <w:color w:val="auto"/>
                <w:sz w:val="24"/>
                <w:szCs w:val="24"/>
              </w:rPr>
              <w:fldChar w:fldCharType="end"/>
            </w:r>
            <w:r>
              <w:rPr>
                <w:color w:val="auto"/>
                <w:sz w:val="24"/>
                <w:szCs w:val="24"/>
              </w:rPr>
              <w:t>该项目运行期的环境管理由环保科承担；</w:t>
            </w:r>
          </w:p>
          <w:p>
            <w:pPr>
              <w:snapToGrid w:val="0"/>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5 \* GB3 </w:instrText>
            </w:r>
            <w:r>
              <w:rPr>
                <w:color w:val="auto"/>
                <w:sz w:val="24"/>
                <w:szCs w:val="24"/>
              </w:rPr>
              <w:fldChar w:fldCharType="separate"/>
            </w:r>
            <w:r>
              <w:rPr>
                <w:rFonts w:hint="eastAsia" w:ascii="宋体" w:hAnsi="宋体" w:cs="宋体"/>
                <w:color w:val="auto"/>
                <w:sz w:val="24"/>
                <w:szCs w:val="24"/>
              </w:rPr>
              <w:t>⑤</w:t>
            </w:r>
            <w:r>
              <w:rPr>
                <w:color w:val="auto"/>
                <w:sz w:val="24"/>
                <w:szCs w:val="24"/>
              </w:rPr>
              <w:fldChar w:fldCharType="end"/>
            </w:r>
            <w:r>
              <w:rPr>
                <w:color w:val="auto"/>
                <w:sz w:val="24"/>
                <w:szCs w:val="24"/>
              </w:rPr>
              <w:t>负责对职工进行环保宣传教育工作，以及检查、监督各单位环保制度的执行情况；</w:t>
            </w:r>
          </w:p>
          <w:p>
            <w:pPr>
              <w:snapToGrid w:val="0"/>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6 \* GB3 </w:instrText>
            </w:r>
            <w:r>
              <w:rPr>
                <w:color w:val="auto"/>
                <w:sz w:val="24"/>
                <w:szCs w:val="24"/>
              </w:rPr>
              <w:fldChar w:fldCharType="separate"/>
            </w:r>
            <w:r>
              <w:rPr>
                <w:rFonts w:hint="eastAsia" w:ascii="宋体" w:hAnsi="宋体" w:cs="宋体"/>
                <w:color w:val="auto"/>
                <w:sz w:val="24"/>
                <w:szCs w:val="24"/>
              </w:rPr>
              <w:t>⑥</w:t>
            </w:r>
            <w:r>
              <w:rPr>
                <w:color w:val="auto"/>
                <w:sz w:val="24"/>
                <w:szCs w:val="24"/>
              </w:rPr>
              <w:fldChar w:fldCharType="end"/>
            </w:r>
            <w:r>
              <w:rPr>
                <w:color w:val="auto"/>
                <w:sz w:val="24"/>
                <w:szCs w:val="24"/>
              </w:rPr>
              <w:t>建立健全环境档案管理与保密制度、污染防治设施设计技术改进及运行资料、污染源调查技术档案、环境监测及评价资料</w:t>
            </w:r>
            <w:r>
              <w:rPr>
                <w:color w:val="auto"/>
                <w:spacing w:val="-6"/>
                <w:sz w:val="24"/>
                <w:szCs w:val="24"/>
              </w:rPr>
              <w:t>。</w:t>
            </w:r>
          </w:p>
          <w:p>
            <w:pPr>
              <w:autoSpaceDE w:val="0"/>
              <w:autoSpaceDN w:val="0"/>
              <w:adjustRightInd w:val="0"/>
              <w:spacing w:line="360" w:lineRule="auto"/>
              <w:ind w:firstLine="482" w:firstLineChars="200"/>
              <w:jc w:val="left"/>
              <w:rPr>
                <w:rFonts w:eastAsiaTheme="minorEastAsia"/>
                <w:b/>
                <w:color w:val="auto"/>
                <w:kern w:val="0"/>
                <w:sz w:val="24"/>
                <w:szCs w:val="24"/>
              </w:rPr>
            </w:pPr>
            <w:bookmarkStart w:id="3" w:name="_Toc477186650"/>
            <w:r>
              <w:rPr>
                <w:rFonts w:hint="eastAsia" w:eastAsiaTheme="minorEastAsia"/>
                <w:b/>
                <w:color w:val="auto"/>
                <w:kern w:val="0"/>
                <w:sz w:val="24"/>
                <w:szCs w:val="24"/>
              </w:rPr>
              <w:t>4、环境管理台账</w:t>
            </w:r>
            <w:bookmarkEnd w:id="3"/>
          </w:p>
          <w:p>
            <w:pPr>
              <w:spacing w:line="360" w:lineRule="auto"/>
              <w:ind w:firstLine="480" w:firstLineChars="200"/>
              <w:rPr>
                <w:rFonts w:hAnsi="Calibri"/>
                <w:color w:val="auto"/>
                <w:sz w:val="24"/>
                <w:szCs w:val="24"/>
              </w:rPr>
            </w:pPr>
            <w:r>
              <w:rPr>
                <w:rFonts w:hint="eastAsia" w:hAnsi="Calibri"/>
                <w:color w:val="auto"/>
                <w:sz w:val="24"/>
                <w:szCs w:val="24"/>
              </w:rPr>
              <w:t>根据建设项目特点、环境影响特征及拟采取的主要污染防治措施，建立项目环境管理台账，为环境保护行政主管部门监督管理提供参考依据。具体见表</w:t>
            </w:r>
            <w:r>
              <w:rPr>
                <w:rFonts w:hAnsi="Calibri"/>
                <w:color w:val="auto"/>
                <w:sz w:val="24"/>
                <w:szCs w:val="24"/>
              </w:rPr>
              <w:t>31</w:t>
            </w:r>
            <w:r>
              <w:rPr>
                <w:rFonts w:hint="eastAsia" w:hAnsi="Calibri"/>
                <w:color w:val="auto"/>
                <w:sz w:val="24"/>
                <w:szCs w:val="24"/>
              </w:rPr>
              <w:t>。</w:t>
            </w:r>
          </w:p>
          <w:p>
            <w:pPr>
              <w:autoSpaceDE w:val="0"/>
              <w:autoSpaceDN w:val="0"/>
              <w:adjustRightInd w:val="0"/>
              <w:jc w:val="center"/>
              <w:outlineLvl w:val="5"/>
              <w:rPr>
                <w:b/>
                <w:color w:val="auto"/>
                <w:kern w:val="0"/>
                <w:sz w:val="24"/>
                <w:szCs w:val="24"/>
              </w:rPr>
            </w:pPr>
            <w:r>
              <w:rPr>
                <w:b/>
                <w:color w:val="auto"/>
                <w:kern w:val="0"/>
                <w:sz w:val="24"/>
                <w:szCs w:val="24"/>
              </w:rPr>
              <w:t>表31   拟建项目环境管理台账一览表</w:t>
            </w:r>
          </w:p>
          <w:tbl>
            <w:tblPr>
              <w:tblStyle w:val="26"/>
              <w:tblW w:w="908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435"/>
              <w:gridCol w:w="2265"/>
              <w:gridCol w:w="45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795" w:type="dxa"/>
                  <w:vAlign w:val="center"/>
                </w:tcPr>
                <w:p>
                  <w:pPr>
                    <w:jc w:val="center"/>
                    <w:rPr>
                      <w:rFonts w:ascii="宋体" w:hAnsi="Calibri"/>
                      <w:b/>
                      <w:color w:val="auto"/>
                    </w:rPr>
                  </w:pPr>
                  <w:r>
                    <w:rPr>
                      <w:rFonts w:hint="eastAsia" w:ascii="宋体" w:hAnsi="Calibri"/>
                      <w:b/>
                      <w:color w:val="auto"/>
                    </w:rPr>
                    <w:t>序号</w:t>
                  </w:r>
                </w:p>
              </w:tc>
              <w:tc>
                <w:tcPr>
                  <w:tcW w:w="3700" w:type="dxa"/>
                  <w:gridSpan w:val="2"/>
                  <w:vAlign w:val="center"/>
                </w:tcPr>
                <w:p>
                  <w:pPr>
                    <w:jc w:val="center"/>
                    <w:rPr>
                      <w:rFonts w:ascii="宋体" w:hAnsi="Calibri"/>
                      <w:b/>
                      <w:color w:val="auto"/>
                    </w:rPr>
                  </w:pPr>
                  <w:r>
                    <w:rPr>
                      <w:rFonts w:hint="eastAsia" w:ascii="宋体" w:hAnsi="Calibri"/>
                      <w:b/>
                      <w:color w:val="auto"/>
                    </w:rPr>
                    <w:t>名称</w:t>
                  </w:r>
                </w:p>
              </w:tc>
              <w:tc>
                <w:tcPr>
                  <w:tcW w:w="4586" w:type="dxa"/>
                  <w:vAlign w:val="center"/>
                </w:tcPr>
                <w:p>
                  <w:pPr>
                    <w:jc w:val="center"/>
                    <w:rPr>
                      <w:rFonts w:ascii="宋体" w:hAnsi="Calibri"/>
                      <w:b/>
                      <w:color w:val="auto"/>
                    </w:rPr>
                  </w:pPr>
                  <w:r>
                    <w:rPr>
                      <w:rFonts w:hint="eastAsia" w:ascii="宋体" w:hAnsi="Calibri"/>
                      <w:b/>
                      <w:color w:val="auto"/>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95" w:type="dxa"/>
                  <w:vAlign w:val="center"/>
                </w:tcPr>
                <w:p>
                  <w:pPr>
                    <w:jc w:val="center"/>
                    <w:rPr>
                      <w:rFonts w:ascii="宋体" w:hAnsi="Calibri"/>
                      <w:color w:val="auto"/>
                    </w:rPr>
                  </w:pPr>
                  <w:r>
                    <w:rPr>
                      <w:rFonts w:hint="eastAsia" w:ascii="宋体" w:hAnsi="Calibri"/>
                      <w:color w:val="auto"/>
                    </w:rPr>
                    <w:t>1</w:t>
                  </w:r>
                </w:p>
              </w:tc>
              <w:tc>
                <w:tcPr>
                  <w:tcW w:w="3700" w:type="dxa"/>
                  <w:gridSpan w:val="2"/>
                  <w:vAlign w:val="center"/>
                </w:tcPr>
                <w:p>
                  <w:pPr>
                    <w:jc w:val="center"/>
                    <w:rPr>
                      <w:rFonts w:ascii="宋体" w:hAnsi="Calibri"/>
                      <w:color w:val="auto"/>
                    </w:rPr>
                  </w:pPr>
                  <w:r>
                    <w:rPr>
                      <w:rFonts w:hint="eastAsia" w:ascii="宋体" w:hAnsi="Calibri"/>
                      <w:color w:val="auto"/>
                    </w:rPr>
                    <w:t>项目文件资料台账</w:t>
                  </w:r>
                </w:p>
              </w:tc>
              <w:tc>
                <w:tcPr>
                  <w:tcW w:w="4586" w:type="dxa"/>
                  <w:vAlign w:val="center"/>
                </w:tcPr>
                <w:p>
                  <w:pPr>
                    <w:rPr>
                      <w:rFonts w:ascii="宋体" w:hAnsi="Calibri"/>
                      <w:color w:val="auto"/>
                    </w:rPr>
                  </w:pPr>
                  <w:r>
                    <w:rPr>
                      <w:rFonts w:hint="eastAsia" w:ascii="宋体" w:hAnsi="Calibri"/>
                      <w:color w:val="auto"/>
                    </w:rPr>
                    <w:t>建立项目文件资料档案，包括项目立项、审批、施工、监理、验收等文件资料，统一归档备查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95" w:type="dxa"/>
                  <w:vAlign w:val="center"/>
                </w:tcPr>
                <w:p>
                  <w:pPr>
                    <w:jc w:val="center"/>
                    <w:rPr>
                      <w:rFonts w:ascii="宋体" w:hAnsi="Calibri"/>
                      <w:color w:val="auto"/>
                    </w:rPr>
                  </w:pPr>
                  <w:r>
                    <w:rPr>
                      <w:rFonts w:hint="eastAsia" w:ascii="宋体" w:hAnsi="Calibri"/>
                      <w:color w:val="auto"/>
                    </w:rPr>
                    <w:t>2</w:t>
                  </w:r>
                </w:p>
              </w:tc>
              <w:tc>
                <w:tcPr>
                  <w:tcW w:w="3700" w:type="dxa"/>
                  <w:gridSpan w:val="2"/>
                  <w:vAlign w:val="center"/>
                </w:tcPr>
                <w:p>
                  <w:pPr>
                    <w:jc w:val="center"/>
                    <w:rPr>
                      <w:rFonts w:ascii="宋体" w:hAnsi="Calibri"/>
                      <w:color w:val="auto"/>
                    </w:rPr>
                  </w:pPr>
                  <w:r>
                    <w:rPr>
                      <w:rFonts w:hint="eastAsia" w:ascii="宋体" w:hAnsi="Calibri"/>
                      <w:color w:val="auto"/>
                    </w:rPr>
                    <w:t>环境管理制度台账</w:t>
                  </w:r>
                </w:p>
              </w:tc>
              <w:tc>
                <w:tcPr>
                  <w:tcW w:w="4586" w:type="dxa"/>
                  <w:vAlign w:val="center"/>
                </w:tcPr>
                <w:p>
                  <w:pPr>
                    <w:rPr>
                      <w:rFonts w:ascii="宋体" w:hAnsi="Calibri"/>
                      <w:color w:val="auto"/>
                    </w:rPr>
                  </w:pPr>
                  <w:r>
                    <w:rPr>
                      <w:rFonts w:hint="eastAsia" w:ascii="宋体" w:hAnsi="Calibri"/>
                      <w:color w:val="auto"/>
                    </w:rPr>
                    <w:t>包括环境管理体系、环境管理制度名录、环境管理负责人员及联系方式等内容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95" w:type="dxa"/>
                  <w:vMerge w:val="restart"/>
                  <w:vAlign w:val="center"/>
                </w:tcPr>
                <w:p>
                  <w:pPr>
                    <w:jc w:val="center"/>
                    <w:rPr>
                      <w:rFonts w:ascii="宋体" w:hAnsi="Calibri"/>
                      <w:color w:val="auto"/>
                    </w:rPr>
                  </w:pPr>
                  <w:r>
                    <w:rPr>
                      <w:rFonts w:hint="eastAsia" w:ascii="宋体" w:hAnsi="Calibri"/>
                      <w:color w:val="auto"/>
                    </w:rPr>
                    <w:t>3</w:t>
                  </w:r>
                </w:p>
              </w:tc>
              <w:tc>
                <w:tcPr>
                  <w:tcW w:w="1435" w:type="dxa"/>
                  <w:vMerge w:val="restart"/>
                  <w:vAlign w:val="center"/>
                </w:tcPr>
                <w:p>
                  <w:pPr>
                    <w:jc w:val="center"/>
                    <w:rPr>
                      <w:rFonts w:ascii="宋体" w:hAnsi="Calibri"/>
                      <w:color w:val="auto"/>
                    </w:rPr>
                  </w:pPr>
                  <w:r>
                    <w:rPr>
                      <w:rFonts w:hint="eastAsia" w:ascii="宋体" w:hAnsi="Calibri"/>
                      <w:color w:val="auto"/>
                    </w:rPr>
                    <w:t>环保设施（措施）台账</w:t>
                  </w:r>
                </w:p>
              </w:tc>
              <w:tc>
                <w:tcPr>
                  <w:tcW w:w="2265" w:type="dxa"/>
                  <w:vAlign w:val="center"/>
                </w:tcPr>
                <w:p>
                  <w:pPr>
                    <w:jc w:val="center"/>
                    <w:rPr>
                      <w:rFonts w:ascii="宋体" w:hAnsi="Calibri"/>
                      <w:color w:val="auto"/>
                    </w:rPr>
                  </w:pPr>
                  <w:r>
                    <w:rPr>
                      <w:rFonts w:hint="eastAsia" w:ascii="宋体" w:hAnsi="Calibri"/>
                      <w:color w:val="auto"/>
                    </w:rPr>
                    <w:t>在线监测系统运行维护台账</w:t>
                  </w:r>
                </w:p>
              </w:tc>
              <w:tc>
                <w:tcPr>
                  <w:tcW w:w="4586" w:type="dxa"/>
                  <w:vAlign w:val="center"/>
                </w:tcPr>
                <w:p>
                  <w:pPr>
                    <w:autoSpaceDE w:val="0"/>
                    <w:autoSpaceDN w:val="0"/>
                    <w:adjustRightInd w:val="0"/>
                    <w:jc w:val="left"/>
                    <w:rPr>
                      <w:rFonts w:ascii="宋体" w:hAnsi="Calibri"/>
                      <w:color w:val="auto"/>
                    </w:rPr>
                  </w:pPr>
                  <w:r>
                    <w:rPr>
                      <w:rFonts w:hint="eastAsia" w:ascii="宋体" w:cs="宋体"/>
                      <w:color w:val="auto"/>
                      <w:kern w:val="0"/>
                    </w:rPr>
                    <w:t>烟气中</w:t>
                  </w:r>
                  <w:r>
                    <w:rPr>
                      <w:rFonts w:ascii="宋体" w:cs="宋体"/>
                      <w:color w:val="auto"/>
                      <w:kern w:val="0"/>
                    </w:rPr>
                    <w:t>SO2</w:t>
                  </w:r>
                  <w:r>
                    <w:rPr>
                      <w:rFonts w:hint="eastAsia" w:ascii="宋体" w:cs="宋体"/>
                      <w:color w:val="auto"/>
                      <w:kern w:val="0"/>
                    </w:rPr>
                    <w:t>、</w:t>
                  </w:r>
                  <w:r>
                    <w:rPr>
                      <w:rFonts w:ascii="宋体" w:cs="宋体"/>
                      <w:color w:val="auto"/>
                      <w:kern w:val="0"/>
                    </w:rPr>
                    <w:t>NOx</w:t>
                  </w:r>
                  <w:r>
                    <w:rPr>
                      <w:rFonts w:hint="eastAsia" w:ascii="宋体" w:cs="宋体"/>
                      <w:color w:val="auto"/>
                      <w:kern w:val="0"/>
                    </w:rPr>
                    <w:t>、粉尘的实时排放浓度；第三方运维记录台账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81" w:hRule="atLeast"/>
              </w:trPr>
              <w:tc>
                <w:tcPr>
                  <w:tcW w:w="795" w:type="dxa"/>
                  <w:vMerge w:val="continue"/>
                  <w:vAlign w:val="center"/>
                </w:tcPr>
                <w:p>
                  <w:pPr>
                    <w:jc w:val="center"/>
                    <w:rPr>
                      <w:rFonts w:ascii="宋体" w:hAnsi="Calibri"/>
                      <w:color w:val="auto"/>
                    </w:rPr>
                  </w:pPr>
                </w:p>
              </w:tc>
              <w:tc>
                <w:tcPr>
                  <w:tcW w:w="1435" w:type="dxa"/>
                  <w:vMerge w:val="continue"/>
                  <w:vAlign w:val="center"/>
                </w:tcPr>
                <w:p>
                  <w:pPr>
                    <w:jc w:val="center"/>
                    <w:rPr>
                      <w:rFonts w:ascii="宋体" w:hAnsi="Calibri"/>
                      <w:color w:val="auto"/>
                    </w:rPr>
                  </w:pPr>
                </w:p>
              </w:tc>
              <w:tc>
                <w:tcPr>
                  <w:tcW w:w="2265" w:type="dxa"/>
                  <w:vAlign w:val="center"/>
                </w:tcPr>
                <w:p>
                  <w:pPr>
                    <w:jc w:val="center"/>
                    <w:rPr>
                      <w:rFonts w:ascii="宋体" w:hAnsi="Calibri"/>
                      <w:color w:val="auto"/>
                    </w:rPr>
                  </w:pPr>
                  <w:r>
                    <w:rPr>
                      <w:rFonts w:hint="eastAsia" w:ascii="宋体" w:hAnsi="Calibri"/>
                      <w:color w:val="auto"/>
                    </w:rPr>
                    <w:t>废气处理设施运行维护台账</w:t>
                  </w:r>
                </w:p>
              </w:tc>
              <w:tc>
                <w:tcPr>
                  <w:tcW w:w="4586" w:type="dxa"/>
                  <w:vAlign w:val="center"/>
                </w:tcPr>
                <w:p>
                  <w:pPr>
                    <w:rPr>
                      <w:rFonts w:ascii="宋体" w:hAnsi="Calibri"/>
                      <w:color w:val="auto"/>
                    </w:rPr>
                  </w:pPr>
                  <w:r>
                    <w:rPr>
                      <w:color w:val="auto"/>
                    </w:rPr>
                    <w:t>记录项目各废气污染源对应的废气污染治理设施（措施）的规模、数量、效率和运行情况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95" w:type="dxa"/>
                  <w:vMerge w:val="restart"/>
                  <w:vAlign w:val="center"/>
                </w:tcPr>
                <w:p>
                  <w:pPr>
                    <w:jc w:val="center"/>
                    <w:rPr>
                      <w:rFonts w:ascii="宋体" w:hAnsi="Calibri"/>
                      <w:color w:val="auto"/>
                    </w:rPr>
                  </w:pPr>
                  <w:r>
                    <w:rPr>
                      <w:rFonts w:hint="eastAsia" w:ascii="宋体" w:hAnsi="Calibri"/>
                      <w:color w:val="auto"/>
                    </w:rPr>
                    <w:t>4</w:t>
                  </w:r>
                </w:p>
              </w:tc>
              <w:tc>
                <w:tcPr>
                  <w:tcW w:w="1435" w:type="dxa"/>
                  <w:vMerge w:val="restart"/>
                  <w:vAlign w:val="center"/>
                </w:tcPr>
                <w:p>
                  <w:pPr>
                    <w:jc w:val="center"/>
                    <w:rPr>
                      <w:rFonts w:ascii="宋体" w:hAnsi="Calibri"/>
                      <w:color w:val="auto"/>
                    </w:rPr>
                  </w:pPr>
                  <w:r>
                    <w:rPr>
                      <w:rFonts w:hint="eastAsia" w:ascii="宋体" w:hAnsi="Calibri"/>
                      <w:color w:val="auto"/>
                    </w:rPr>
                    <w:t>监测资料台账</w:t>
                  </w:r>
                </w:p>
              </w:tc>
              <w:tc>
                <w:tcPr>
                  <w:tcW w:w="2265" w:type="dxa"/>
                  <w:vAlign w:val="center"/>
                </w:tcPr>
                <w:p>
                  <w:pPr>
                    <w:jc w:val="center"/>
                    <w:rPr>
                      <w:rFonts w:ascii="宋体" w:hAnsi="Calibri"/>
                      <w:color w:val="auto"/>
                    </w:rPr>
                  </w:pPr>
                  <w:r>
                    <w:rPr>
                      <w:rFonts w:hint="eastAsia" w:ascii="宋体" w:hAnsi="Calibri"/>
                      <w:color w:val="auto"/>
                    </w:rPr>
                    <w:t>环境质量监测资料台账</w:t>
                  </w:r>
                </w:p>
              </w:tc>
              <w:tc>
                <w:tcPr>
                  <w:tcW w:w="4586" w:type="dxa"/>
                  <w:vAlign w:val="center"/>
                </w:tcPr>
                <w:p>
                  <w:pPr>
                    <w:rPr>
                      <w:rFonts w:ascii="宋体" w:hAnsi="Calibri"/>
                      <w:color w:val="auto"/>
                    </w:rPr>
                  </w:pPr>
                  <w:r>
                    <w:rPr>
                      <w:rFonts w:hint="eastAsia" w:ascii="宋体" w:hAnsi="Calibri"/>
                      <w:color w:val="auto"/>
                    </w:rPr>
                    <w:t>记录监测时间、监测点位、监测因子、监测频次、监测结果、监测单位等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795" w:type="dxa"/>
                  <w:vMerge w:val="continue"/>
                  <w:vAlign w:val="center"/>
                </w:tcPr>
                <w:p>
                  <w:pPr>
                    <w:jc w:val="center"/>
                    <w:rPr>
                      <w:rFonts w:ascii="宋体" w:hAnsi="Calibri"/>
                      <w:color w:val="auto"/>
                    </w:rPr>
                  </w:pPr>
                </w:p>
              </w:tc>
              <w:tc>
                <w:tcPr>
                  <w:tcW w:w="1435" w:type="dxa"/>
                  <w:vMerge w:val="continue"/>
                  <w:vAlign w:val="center"/>
                </w:tcPr>
                <w:p>
                  <w:pPr>
                    <w:jc w:val="center"/>
                    <w:rPr>
                      <w:rFonts w:ascii="宋体" w:hAnsi="Calibri"/>
                      <w:color w:val="auto"/>
                    </w:rPr>
                  </w:pPr>
                </w:p>
              </w:tc>
              <w:tc>
                <w:tcPr>
                  <w:tcW w:w="2265" w:type="dxa"/>
                  <w:vAlign w:val="center"/>
                </w:tcPr>
                <w:p>
                  <w:pPr>
                    <w:jc w:val="center"/>
                    <w:rPr>
                      <w:rFonts w:ascii="宋体" w:hAnsi="Calibri"/>
                      <w:color w:val="auto"/>
                    </w:rPr>
                  </w:pPr>
                  <w:r>
                    <w:rPr>
                      <w:rFonts w:hint="eastAsia" w:ascii="宋体" w:hAnsi="Calibri"/>
                      <w:color w:val="auto"/>
                    </w:rPr>
                    <w:t>污染源监测资料台账</w:t>
                  </w:r>
                </w:p>
              </w:tc>
              <w:tc>
                <w:tcPr>
                  <w:tcW w:w="4586" w:type="dxa"/>
                  <w:vAlign w:val="center"/>
                </w:tcPr>
                <w:p>
                  <w:pPr>
                    <w:rPr>
                      <w:rFonts w:ascii="宋体" w:hAnsi="Calibri"/>
                      <w:color w:val="auto"/>
                    </w:rPr>
                  </w:pPr>
                  <w:r>
                    <w:rPr>
                      <w:rFonts w:hint="eastAsia" w:ascii="宋体" w:hAnsi="Calibri"/>
                      <w:color w:val="auto"/>
                    </w:rPr>
                    <w:t>记录监测时间、监测点位、监测因子、监测频次、监测结果、监测单位等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795" w:type="dxa"/>
                  <w:vMerge w:val="continue"/>
                  <w:vAlign w:val="center"/>
                </w:tcPr>
                <w:p>
                  <w:pPr>
                    <w:jc w:val="center"/>
                    <w:rPr>
                      <w:rFonts w:ascii="宋体" w:hAnsi="Calibri"/>
                      <w:color w:val="auto"/>
                    </w:rPr>
                  </w:pPr>
                </w:p>
              </w:tc>
              <w:tc>
                <w:tcPr>
                  <w:tcW w:w="1435" w:type="dxa"/>
                  <w:vMerge w:val="continue"/>
                  <w:vAlign w:val="center"/>
                </w:tcPr>
                <w:p>
                  <w:pPr>
                    <w:jc w:val="center"/>
                    <w:rPr>
                      <w:rFonts w:ascii="宋体" w:hAnsi="Calibri"/>
                      <w:color w:val="auto"/>
                    </w:rPr>
                  </w:pPr>
                </w:p>
              </w:tc>
              <w:tc>
                <w:tcPr>
                  <w:tcW w:w="2265" w:type="dxa"/>
                  <w:vAlign w:val="center"/>
                </w:tcPr>
                <w:p>
                  <w:pPr>
                    <w:jc w:val="center"/>
                    <w:rPr>
                      <w:rFonts w:ascii="宋体" w:hAnsi="Calibri"/>
                      <w:color w:val="auto"/>
                    </w:rPr>
                  </w:pPr>
                  <w:r>
                    <w:rPr>
                      <w:rFonts w:hint="eastAsia" w:ascii="宋体" w:hAnsi="Calibri"/>
                      <w:color w:val="auto"/>
                    </w:rPr>
                    <w:t>事故监测资料台账</w:t>
                  </w:r>
                </w:p>
              </w:tc>
              <w:tc>
                <w:tcPr>
                  <w:tcW w:w="4586" w:type="dxa"/>
                  <w:vAlign w:val="center"/>
                </w:tcPr>
                <w:p>
                  <w:pPr>
                    <w:rPr>
                      <w:rFonts w:ascii="宋体" w:hAnsi="Calibri"/>
                      <w:color w:val="auto"/>
                    </w:rPr>
                  </w:pPr>
                  <w:r>
                    <w:rPr>
                      <w:color w:val="auto"/>
                    </w:rPr>
                    <w:t>记录监测时间、监测点位、监测因子、监测频次、监测结果、监测单位等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795" w:type="dxa"/>
                  <w:vMerge w:val="restart"/>
                  <w:vAlign w:val="center"/>
                </w:tcPr>
                <w:p>
                  <w:pPr>
                    <w:jc w:val="center"/>
                    <w:rPr>
                      <w:rFonts w:ascii="宋体" w:hAnsi="Calibri"/>
                      <w:color w:val="auto"/>
                    </w:rPr>
                  </w:pPr>
                  <w:r>
                    <w:rPr>
                      <w:rFonts w:hint="eastAsia" w:ascii="宋体" w:hAnsi="Calibri"/>
                      <w:color w:val="auto"/>
                    </w:rPr>
                    <w:t>5</w:t>
                  </w:r>
                </w:p>
              </w:tc>
              <w:tc>
                <w:tcPr>
                  <w:tcW w:w="1435" w:type="dxa"/>
                  <w:vMerge w:val="restart"/>
                  <w:vAlign w:val="center"/>
                </w:tcPr>
                <w:p>
                  <w:pPr>
                    <w:jc w:val="center"/>
                    <w:rPr>
                      <w:rFonts w:ascii="宋体" w:hAnsi="Calibri"/>
                      <w:color w:val="auto"/>
                    </w:rPr>
                  </w:pPr>
                  <w:r>
                    <w:rPr>
                      <w:color w:val="auto"/>
                    </w:rPr>
                    <w:t>事故风险管理台账</w:t>
                  </w:r>
                </w:p>
              </w:tc>
              <w:tc>
                <w:tcPr>
                  <w:tcW w:w="2265" w:type="dxa"/>
                  <w:vAlign w:val="center"/>
                </w:tcPr>
                <w:p>
                  <w:pPr>
                    <w:pStyle w:val="71"/>
                    <w:rPr>
                      <w:color w:val="auto"/>
                    </w:rPr>
                  </w:pPr>
                  <w:r>
                    <w:rPr>
                      <w:color w:val="auto"/>
                    </w:rPr>
                    <w:t>风险防范设施运行维护台账</w:t>
                  </w:r>
                </w:p>
              </w:tc>
              <w:tc>
                <w:tcPr>
                  <w:tcW w:w="4586" w:type="dxa"/>
                  <w:vAlign w:val="center"/>
                </w:tcPr>
                <w:p>
                  <w:pPr>
                    <w:pStyle w:val="71"/>
                    <w:rPr>
                      <w:color w:val="auto"/>
                    </w:rPr>
                  </w:pPr>
                  <w:r>
                    <w:rPr>
                      <w:color w:val="auto"/>
                    </w:rPr>
                    <w:t>记录风险防范设施名称、位置、运行情况、维护维修情况、执行人员及联系方式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795" w:type="dxa"/>
                  <w:vMerge w:val="continue"/>
                  <w:vAlign w:val="center"/>
                </w:tcPr>
                <w:p>
                  <w:pPr>
                    <w:jc w:val="center"/>
                    <w:rPr>
                      <w:rFonts w:ascii="宋体" w:hAnsi="Calibri"/>
                      <w:color w:val="auto"/>
                    </w:rPr>
                  </w:pPr>
                </w:p>
              </w:tc>
              <w:tc>
                <w:tcPr>
                  <w:tcW w:w="1435" w:type="dxa"/>
                  <w:vMerge w:val="continue"/>
                  <w:vAlign w:val="center"/>
                </w:tcPr>
                <w:p>
                  <w:pPr>
                    <w:jc w:val="center"/>
                    <w:rPr>
                      <w:color w:val="auto"/>
                    </w:rPr>
                  </w:pPr>
                </w:p>
              </w:tc>
              <w:tc>
                <w:tcPr>
                  <w:tcW w:w="2265" w:type="dxa"/>
                  <w:vAlign w:val="center"/>
                </w:tcPr>
                <w:p>
                  <w:pPr>
                    <w:pStyle w:val="71"/>
                    <w:rPr>
                      <w:color w:val="auto"/>
                    </w:rPr>
                  </w:pPr>
                  <w:r>
                    <w:rPr>
                      <w:color w:val="auto"/>
                    </w:rPr>
                    <w:t>事故风险隐患排查台账</w:t>
                  </w:r>
                </w:p>
              </w:tc>
              <w:tc>
                <w:tcPr>
                  <w:tcW w:w="4586" w:type="dxa"/>
                  <w:vAlign w:val="center"/>
                </w:tcPr>
                <w:p>
                  <w:pPr>
                    <w:pStyle w:val="71"/>
                    <w:rPr>
                      <w:color w:val="auto"/>
                    </w:rPr>
                  </w:pPr>
                  <w:r>
                    <w:rPr>
                      <w:color w:val="auto"/>
                    </w:rPr>
                    <w:t>填写事故风险隐患排查登记表，记录隐患排查时间、地点、问题、负责人员及联系方式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795" w:type="dxa"/>
                  <w:vMerge w:val="continue"/>
                  <w:vAlign w:val="center"/>
                </w:tcPr>
                <w:p>
                  <w:pPr>
                    <w:jc w:val="center"/>
                    <w:rPr>
                      <w:rFonts w:ascii="宋体" w:hAnsi="Calibri"/>
                      <w:color w:val="auto"/>
                    </w:rPr>
                  </w:pPr>
                </w:p>
              </w:tc>
              <w:tc>
                <w:tcPr>
                  <w:tcW w:w="1435" w:type="dxa"/>
                  <w:vMerge w:val="continue"/>
                  <w:vAlign w:val="center"/>
                </w:tcPr>
                <w:p>
                  <w:pPr>
                    <w:jc w:val="center"/>
                    <w:rPr>
                      <w:color w:val="auto"/>
                    </w:rPr>
                  </w:pPr>
                </w:p>
              </w:tc>
              <w:tc>
                <w:tcPr>
                  <w:tcW w:w="2265" w:type="dxa"/>
                  <w:vAlign w:val="center"/>
                </w:tcPr>
                <w:p>
                  <w:pPr>
                    <w:pStyle w:val="71"/>
                    <w:rPr>
                      <w:color w:val="auto"/>
                    </w:rPr>
                  </w:pPr>
                  <w:r>
                    <w:rPr>
                      <w:color w:val="auto"/>
                    </w:rPr>
                    <w:t>突发环境事件台账</w:t>
                  </w:r>
                </w:p>
              </w:tc>
              <w:tc>
                <w:tcPr>
                  <w:tcW w:w="4586" w:type="dxa"/>
                  <w:vAlign w:val="center"/>
                </w:tcPr>
                <w:p>
                  <w:pPr>
                    <w:pStyle w:val="71"/>
                    <w:rPr>
                      <w:color w:val="auto"/>
                    </w:rPr>
                  </w:pPr>
                  <w:r>
                    <w:rPr>
                      <w:color w:val="auto"/>
                    </w:rPr>
                    <w:t>建立项目突发环境事件台账，记录突发环境事件发生时间、地点、污染物事故排放强度、应急处</w:t>
                  </w:r>
                  <w:r>
                    <w:rPr>
                      <w:rFonts w:hint="eastAsia"/>
                      <w:color w:val="auto"/>
                    </w:rPr>
                    <w:t>·</w:t>
                  </w:r>
                  <w:r>
                    <w:rPr>
                      <w:color w:val="auto"/>
                    </w:rPr>
                    <w:t>置过程和处置结果等内容</w:t>
                  </w:r>
                </w:p>
              </w:tc>
            </w:tr>
          </w:tbl>
          <w:p>
            <w:pPr>
              <w:spacing w:before="156" w:beforeLines="50" w:line="360" w:lineRule="auto"/>
              <w:ind w:firstLine="482" w:firstLineChars="200"/>
              <w:rPr>
                <w:b/>
                <w:bCs/>
                <w:color w:val="auto"/>
                <w:sz w:val="24"/>
                <w:szCs w:val="24"/>
              </w:rPr>
            </w:pPr>
          </w:p>
          <w:p>
            <w:pPr>
              <w:spacing w:before="156" w:beforeLines="50" w:line="360" w:lineRule="auto"/>
              <w:ind w:firstLine="482" w:firstLineChars="200"/>
              <w:rPr>
                <w:b/>
                <w:bCs/>
                <w:color w:val="auto"/>
                <w:sz w:val="24"/>
                <w:szCs w:val="24"/>
              </w:rPr>
            </w:pPr>
            <w:r>
              <w:rPr>
                <w:rFonts w:hint="eastAsia"/>
                <w:b/>
                <w:bCs/>
                <w:color w:val="auto"/>
                <w:sz w:val="24"/>
                <w:szCs w:val="24"/>
              </w:rPr>
              <w:t>二、环境监测计划</w:t>
            </w:r>
          </w:p>
          <w:p>
            <w:pPr>
              <w:spacing w:line="360" w:lineRule="auto"/>
              <w:ind w:firstLine="480" w:firstLineChars="200"/>
              <w:rPr>
                <w:color w:val="auto"/>
                <w:sz w:val="24"/>
                <w:szCs w:val="24"/>
              </w:rPr>
            </w:pPr>
            <w:r>
              <w:rPr>
                <w:color w:val="auto"/>
                <w:sz w:val="24"/>
                <w:szCs w:val="24"/>
              </w:rPr>
              <w:t>本项目运行期环境监测</w:t>
            </w:r>
            <w:r>
              <w:rPr>
                <w:rFonts w:hint="eastAsia"/>
                <w:color w:val="auto"/>
                <w:sz w:val="24"/>
                <w:szCs w:val="24"/>
              </w:rPr>
              <w:t>包括锅炉烟气</w:t>
            </w:r>
            <w:r>
              <w:rPr>
                <w:color w:val="auto"/>
                <w:sz w:val="24"/>
                <w:szCs w:val="24"/>
              </w:rPr>
              <w:t>在线监测、</w:t>
            </w:r>
            <w:r>
              <w:rPr>
                <w:rFonts w:hint="eastAsia"/>
                <w:color w:val="auto"/>
                <w:sz w:val="24"/>
                <w:szCs w:val="24"/>
              </w:rPr>
              <w:t>建设单位自行监测和</w:t>
            </w:r>
            <w:r>
              <w:rPr>
                <w:color w:val="auto"/>
                <w:sz w:val="24"/>
                <w:szCs w:val="24"/>
              </w:rPr>
              <w:t>委托监测三部分。</w:t>
            </w:r>
            <w:r>
              <w:rPr>
                <w:color w:val="auto"/>
                <w:sz w:val="24"/>
                <w:szCs w:val="24"/>
              </w:rPr>
              <w:fldChar w:fldCharType="begin"/>
            </w:r>
            <w:r>
              <w:rPr>
                <w:rFonts w:hint="eastAsia"/>
                <w:color w:val="auto"/>
                <w:sz w:val="24"/>
                <w:szCs w:val="24"/>
              </w:rPr>
              <w:instrText xml:space="preserve">= 1 \* GB2</w:instrText>
            </w:r>
            <w:r>
              <w:rPr>
                <w:color w:val="auto"/>
                <w:sz w:val="24"/>
                <w:szCs w:val="24"/>
              </w:rPr>
              <w:fldChar w:fldCharType="separate"/>
            </w:r>
            <w:r>
              <w:rPr>
                <w:rFonts w:hint="eastAsia"/>
                <w:color w:val="auto"/>
                <w:sz w:val="24"/>
                <w:szCs w:val="24"/>
              </w:rPr>
              <w:t>⑴</w:t>
            </w:r>
            <w:r>
              <w:rPr>
                <w:color w:val="auto"/>
                <w:sz w:val="24"/>
                <w:szCs w:val="24"/>
              </w:rPr>
              <w:fldChar w:fldCharType="end"/>
            </w:r>
            <w:r>
              <w:rPr>
                <w:rFonts w:hint="eastAsia"/>
                <w:color w:val="auto"/>
                <w:sz w:val="24"/>
                <w:szCs w:val="24"/>
              </w:rPr>
              <w:t>在线监测</w:t>
            </w:r>
          </w:p>
          <w:p>
            <w:pPr>
              <w:spacing w:line="360" w:lineRule="auto"/>
              <w:ind w:firstLine="480" w:firstLineChars="200"/>
              <w:rPr>
                <w:color w:val="auto"/>
                <w:sz w:val="24"/>
                <w:szCs w:val="24"/>
              </w:rPr>
            </w:pPr>
            <w:r>
              <w:rPr>
                <w:rFonts w:hint="eastAsia"/>
                <w:color w:val="auto"/>
                <w:sz w:val="24"/>
                <w:szCs w:val="24"/>
              </w:rPr>
              <w:t>锅炉烟气在线监测系统应测量烟气中颗粒物、SO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r>
              <w:rPr>
                <w:rFonts w:hint="eastAsia"/>
                <w:color w:val="auto"/>
                <w:sz w:val="24"/>
                <w:szCs w:val="24"/>
              </w:rPr>
              <w:t>浓度，烟气参数（温度、压力、流速或流量、湿度、含氧量等），同时计算烟气中污染物排放速率和排放量。</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2 \* GB2</w:instrText>
            </w:r>
            <w:r>
              <w:rPr>
                <w:color w:val="auto"/>
                <w:sz w:val="24"/>
                <w:szCs w:val="24"/>
              </w:rPr>
              <w:instrText xml:space="preserve"> </w:instrText>
            </w:r>
            <w:r>
              <w:rPr>
                <w:color w:val="auto"/>
                <w:sz w:val="24"/>
                <w:szCs w:val="24"/>
              </w:rPr>
              <w:fldChar w:fldCharType="separate"/>
            </w:r>
            <w:r>
              <w:rPr>
                <w:rFonts w:hint="eastAsia"/>
                <w:color w:val="auto"/>
                <w:sz w:val="24"/>
                <w:szCs w:val="24"/>
              </w:rPr>
              <w:t>⑵</w:t>
            </w:r>
            <w:r>
              <w:rPr>
                <w:color w:val="auto"/>
                <w:sz w:val="24"/>
                <w:szCs w:val="24"/>
              </w:rPr>
              <w:fldChar w:fldCharType="end"/>
            </w:r>
            <w:r>
              <w:rPr>
                <w:rFonts w:hint="eastAsia"/>
                <w:color w:val="auto"/>
                <w:sz w:val="24"/>
                <w:szCs w:val="24"/>
              </w:rPr>
              <w:t>建设单位自行监测</w:t>
            </w:r>
          </w:p>
          <w:p>
            <w:pPr>
              <w:spacing w:line="360" w:lineRule="auto"/>
              <w:ind w:firstLine="480" w:firstLineChars="200"/>
              <w:rPr>
                <w:color w:val="auto"/>
                <w:sz w:val="24"/>
                <w:szCs w:val="24"/>
              </w:rPr>
            </w:pPr>
            <w:r>
              <w:rPr>
                <w:rFonts w:hint="eastAsia"/>
                <w:color w:val="auto"/>
                <w:sz w:val="24"/>
                <w:szCs w:val="24"/>
              </w:rPr>
              <w:t>包括废气和噪声自行监测</w:t>
            </w:r>
            <w:r>
              <w:rPr>
                <w:color w:val="auto"/>
                <w:sz w:val="24"/>
                <w:szCs w:val="24"/>
              </w:rPr>
              <w:t>。</w:t>
            </w:r>
            <w:r>
              <w:rPr>
                <w:rFonts w:hint="eastAsia"/>
                <w:color w:val="auto"/>
                <w:sz w:val="24"/>
                <w:szCs w:val="24"/>
              </w:rPr>
              <w:t>其中，锅炉烟气监测指标包括颗粒物、SO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r>
              <w:rPr>
                <w:rFonts w:hint="eastAsia"/>
                <w:color w:val="auto"/>
                <w:sz w:val="24"/>
                <w:szCs w:val="24"/>
              </w:rPr>
              <w:t>、林格曼黑度、烟气流速、烟气温度、烟气压力、含氧量；厂界无组织废气监测指标为颗粒物、NH</w:t>
            </w:r>
            <w:r>
              <w:rPr>
                <w:rFonts w:hint="eastAsia"/>
                <w:color w:val="auto"/>
                <w:sz w:val="24"/>
                <w:szCs w:val="24"/>
                <w:vertAlign w:val="subscript"/>
              </w:rPr>
              <w:t>3</w:t>
            </w:r>
            <w:r>
              <w:rPr>
                <w:rFonts w:hint="eastAsia"/>
                <w:color w:val="auto"/>
                <w:sz w:val="24"/>
                <w:szCs w:val="24"/>
              </w:rPr>
              <w:t>；噪声监测指标为等效连续A声级。</w:t>
            </w:r>
          </w:p>
          <w:p>
            <w:pPr>
              <w:spacing w:line="360" w:lineRule="auto"/>
              <w:ind w:firstLine="480" w:firstLineChars="200"/>
              <w:rPr>
                <w:color w:val="auto"/>
                <w:sz w:val="24"/>
                <w:szCs w:val="24"/>
              </w:rPr>
            </w:pPr>
            <w:r>
              <w:rPr>
                <w:color w:val="auto"/>
                <w:sz w:val="24"/>
                <w:szCs w:val="24"/>
              </w:rPr>
              <w:fldChar w:fldCharType="begin"/>
            </w:r>
            <w:r>
              <w:rPr>
                <w:rFonts w:hint="eastAsia"/>
                <w:color w:val="auto"/>
                <w:sz w:val="24"/>
                <w:szCs w:val="24"/>
              </w:rPr>
              <w:instrText xml:space="preserve">= 3 \* GB2</w:instrText>
            </w:r>
            <w:r>
              <w:rPr>
                <w:color w:val="auto"/>
                <w:sz w:val="24"/>
                <w:szCs w:val="24"/>
              </w:rPr>
              <w:fldChar w:fldCharType="separate"/>
            </w:r>
            <w:r>
              <w:rPr>
                <w:rFonts w:hint="eastAsia"/>
                <w:color w:val="auto"/>
                <w:sz w:val="24"/>
                <w:szCs w:val="24"/>
              </w:rPr>
              <w:t>⑶</w:t>
            </w:r>
            <w:r>
              <w:rPr>
                <w:color w:val="auto"/>
                <w:sz w:val="24"/>
                <w:szCs w:val="24"/>
              </w:rPr>
              <w:fldChar w:fldCharType="end"/>
            </w:r>
            <w:r>
              <w:rPr>
                <w:rFonts w:hint="eastAsia"/>
                <w:color w:val="auto"/>
                <w:sz w:val="24"/>
                <w:szCs w:val="24"/>
              </w:rPr>
              <w:t>委托监测</w:t>
            </w:r>
          </w:p>
          <w:p>
            <w:pPr>
              <w:spacing w:line="360" w:lineRule="auto"/>
              <w:ind w:firstLine="480" w:firstLineChars="200"/>
              <w:rPr>
                <w:color w:val="auto"/>
                <w:sz w:val="24"/>
                <w:szCs w:val="24"/>
              </w:rPr>
            </w:pPr>
            <w:r>
              <w:rPr>
                <w:rFonts w:hint="eastAsia"/>
                <w:color w:val="auto"/>
                <w:sz w:val="24"/>
                <w:szCs w:val="24"/>
              </w:rPr>
              <w:t>委托资质单位定期对本项目污染源进行监测，监测指标如下：</w:t>
            </w:r>
          </w:p>
          <w:p>
            <w:pPr>
              <w:spacing w:line="360" w:lineRule="auto"/>
              <w:ind w:firstLine="480" w:firstLineChars="200"/>
              <w:rPr>
                <w:color w:val="auto"/>
                <w:sz w:val="24"/>
                <w:szCs w:val="24"/>
              </w:rPr>
            </w:pPr>
            <w:r>
              <w:rPr>
                <w:color w:val="auto"/>
                <w:sz w:val="24"/>
                <w:szCs w:val="24"/>
              </w:rPr>
              <w:fldChar w:fldCharType="begin"/>
            </w:r>
            <w:r>
              <w:rPr>
                <w:rFonts w:hint="eastAsia"/>
                <w:color w:val="auto"/>
                <w:sz w:val="24"/>
                <w:szCs w:val="24"/>
              </w:rPr>
              <w:instrText xml:space="preserve">= 1 \* GB3</w:instrText>
            </w:r>
            <w:r>
              <w:rPr>
                <w:color w:val="auto"/>
                <w:sz w:val="24"/>
                <w:szCs w:val="24"/>
              </w:rPr>
              <w:fldChar w:fldCharType="separate"/>
            </w:r>
            <w:r>
              <w:rPr>
                <w:rFonts w:hint="eastAsia"/>
                <w:color w:val="auto"/>
                <w:sz w:val="24"/>
                <w:szCs w:val="24"/>
              </w:rPr>
              <w:t>①</w:t>
            </w:r>
            <w:r>
              <w:rPr>
                <w:color w:val="auto"/>
                <w:sz w:val="24"/>
                <w:szCs w:val="24"/>
              </w:rPr>
              <w:fldChar w:fldCharType="end"/>
            </w:r>
            <w:r>
              <w:rPr>
                <w:rFonts w:hint="eastAsia"/>
                <w:color w:val="auto"/>
                <w:sz w:val="24"/>
                <w:szCs w:val="24"/>
              </w:rPr>
              <w:t>锅炉烟气：颗粒物、SO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r>
              <w:rPr>
                <w:rFonts w:hint="eastAsia"/>
                <w:color w:val="auto"/>
                <w:sz w:val="24"/>
                <w:szCs w:val="24"/>
              </w:rPr>
              <w:t>、NH</w:t>
            </w:r>
            <w:r>
              <w:rPr>
                <w:rFonts w:hint="eastAsia"/>
                <w:color w:val="auto"/>
                <w:sz w:val="24"/>
                <w:szCs w:val="24"/>
                <w:vertAlign w:val="subscript"/>
              </w:rPr>
              <w:t>3</w:t>
            </w:r>
            <w:r>
              <w:rPr>
                <w:rFonts w:hint="eastAsia"/>
                <w:color w:val="auto"/>
                <w:sz w:val="24"/>
                <w:szCs w:val="24"/>
              </w:rPr>
              <w:t>林格曼黑度、烟气流速、烟气温度、烟气压力、含氧量等；</w:t>
            </w:r>
          </w:p>
          <w:p>
            <w:pPr>
              <w:spacing w:line="360" w:lineRule="auto"/>
              <w:ind w:firstLine="480" w:firstLineChars="200"/>
              <w:rPr>
                <w:color w:val="auto"/>
                <w:sz w:val="24"/>
                <w:szCs w:val="24"/>
              </w:rPr>
            </w:pPr>
            <w:r>
              <w:rPr>
                <w:color w:val="auto"/>
                <w:sz w:val="24"/>
                <w:szCs w:val="24"/>
              </w:rPr>
              <w:fldChar w:fldCharType="begin"/>
            </w:r>
            <w:r>
              <w:rPr>
                <w:rFonts w:hint="eastAsia"/>
                <w:color w:val="auto"/>
                <w:sz w:val="24"/>
                <w:szCs w:val="24"/>
              </w:rPr>
              <w:instrText xml:space="preserve">= 2 \* GB3</w:instrText>
            </w:r>
            <w:r>
              <w:rPr>
                <w:color w:val="auto"/>
                <w:sz w:val="24"/>
                <w:szCs w:val="24"/>
              </w:rPr>
              <w:fldChar w:fldCharType="separate"/>
            </w:r>
            <w:r>
              <w:rPr>
                <w:rFonts w:hint="eastAsia"/>
                <w:color w:val="auto"/>
                <w:sz w:val="24"/>
                <w:szCs w:val="24"/>
              </w:rPr>
              <w:t>②</w:t>
            </w:r>
            <w:r>
              <w:rPr>
                <w:color w:val="auto"/>
                <w:sz w:val="24"/>
                <w:szCs w:val="24"/>
              </w:rPr>
              <w:fldChar w:fldCharType="end"/>
            </w:r>
            <w:r>
              <w:rPr>
                <w:rFonts w:hint="eastAsia"/>
                <w:color w:val="auto"/>
                <w:sz w:val="24"/>
                <w:szCs w:val="24"/>
              </w:rPr>
              <w:t>厂界无组织废气：颗粒物、NH</w:t>
            </w:r>
            <w:r>
              <w:rPr>
                <w:rFonts w:hint="eastAsia"/>
                <w:color w:val="auto"/>
                <w:sz w:val="24"/>
                <w:szCs w:val="24"/>
                <w:vertAlign w:val="subscript"/>
              </w:rPr>
              <w:t>3</w:t>
            </w:r>
            <w:r>
              <w:rPr>
                <w:rFonts w:hint="eastAsia"/>
                <w:color w:val="auto"/>
                <w:sz w:val="24"/>
                <w:szCs w:val="24"/>
              </w:rPr>
              <w:t>；</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3 \* GB3</w:instrText>
            </w:r>
            <w:r>
              <w:rPr>
                <w:color w:val="auto"/>
                <w:sz w:val="24"/>
                <w:szCs w:val="24"/>
              </w:rPr>
              <w:instrText xml:space="preserve"> </w:instrText>
            </w:r>
            <w:r>
              <w:rPr>
                <w:color w:val="auto"/>
                <w:sz w:val="24"/>
                <w:szCs w:val="24"/>
              </w:rPr>
              <w:fldChar w:fldCharType="separate"/>
            </w:r>
            <w:r>
              <w:rPr>
                <w:rFonts w:hint="eastAsia"/>
                <w:color w:val="auto"/>
                <w:sz w:val="24"/>
                <w:szCs w:val="24"/>
              </w:rPr>
              <w:t>③</w:t>
            </w:r>
            <w:r>
              <w:rPr>
                <w:color w:val="auto"/>
                <w:sz w:val="24"/>
                <w:szCs w:val="24"/>
              </w:rPr>
              <w:fldChar w:fldCharType="end"/>
            </w:r>
            <w:r>
              <w:rPr>
                <w:rFonts w:hint="eastAsia"/>
                <w:color w:val="auto"/>
                <w:sz w:val="24"/>
                <w:szCs w:val="24"/>
              </w:rPr>
              <w:t>厂界噪声监测；</w:t>
            </w:r>
          </w:p>
          <w:p>
            <w:pPr>
              <w:spacing w:line="360" w:lineRule="auto"/>
              <w:ind w:firstLine="480" w:firstLineChars="200"/>
              <w:rPr>
                <w:color w:val="auto"/>
                <w:sz w:val="24"/>
                <w:szCs w:val="24"/>
              </w:rPr>
            </w:pPr>
            <w:r>
              <w:rPr>
                <w:rFonts w:hint="eastAsia"/>
                <w:color w:val="auto"/>
                <w:sz w:val="24"/>
                <w:szCs w:val="24"/>
              </w:rPr>
              <w:t>项目运营期污染源监测计划见表</w:t>
            </w:r>
            <w:r>
              <w:rPr>
                <w:color w:val="auto"/>
                <w:sz w:val="24"/>
                <w:szCs w:val="24"/>
              </w:rPr>
              <w:t>32。</w:t>
            </w:r>
          </w:p>
          <w:p>
            <w:pPr>
              <w:adjustRightInd w:val="0"/>
              <w:snapToGrid w:val="0"/>
              <w:spacing w:line="360" w:lineRule="auto"/>
              <w:jc w:val="center"/>
              <w:rPr>
                <w:b/>
                <w:bCs/>
                <w:color w:val="auto"/>
                <w:sz w:val="24"/>
                <w:szCs w:val="24"/>
              </w:rPr>
            </w:pPr>
            <w:r>
              <w:rPr>
                <w:b/>
                <w:bCs/>
                <w:color w:val="auto"/>
                <w:sz w:val="24"/>
                <w:szCs w:val="24"/>
              </w:rPr>
              <w:t>表32</w:t>
            </w:r>
            <w:r>
              <w:rPr>
                <w:rFonts w:hint="eastAsia"/>
                <w:b/>
                <w:bCs/>
                <w:color w:val="auto"/>
                <w:sz w:val="24"/>
                <w:szCs w:val="24"/>
              </w:rPr>
              <w:t xml:space="preserve">  </w:t>
            </w:r>
            <w:r>
              <w:rPr>
                <w:b/>
                <w:bCs/>
                <w:color w:val="auto"/>
                <w:sz w:val="24"/>
                <w:szCs w:val="24"/>
              </w:rPr>
              <w:t>运</w:t>
            </w:r>
            <w:r>
              <w:rPr>
                <w:rFonts w:hint="eastAsia"/>
                <w:b/>
                <w:bCs/>
                <w:color w:val="auto"/>
                <w:sz w:val="24"/>
                <w:szCs w:val="24"/>
              </w:rPr>
              <w:t>营</w:t>
            </w:r>
            <w:r>
              <w:rPr>
                <w:b/>
                <w:bCs/>
                <w:color w:val="auto"/>
                <w:sz w:val="24"/>
                <w:szCs w:val="24"/>
              </w:rPr>
              <w:t>期</w:t>
            </w:r>
            <w:r>
              <w:rPr>
                <w:rFonts w:hint="eastAsia"/>
                <w:b/>
                <w:bCs/>
                <w:color w:val="auto"/>
                <w:sz w:val="24"/>
                <w:szCs w:val="24"/>
              </w:rPr>
              <w:t>污染源</w:t>
            </w:r>
            <w:r>
              <w:rPr>
                <w:b/>
                <w:bCs/>
                <w:color w:val="auto"/>
                <w:sz w:val="24"/>
                <w:szCs w:val="24"/>
              </w:rPr>
              <w:t>监测计划一览表</w:t>
            </w:r>
          </w:p>
          <w:tbl>
            <w:tblPr>
              <w:tblStyle w:val="26"/>
              <w:tblW w:w="9101"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74"/>
              <w:gridCol w:w="846"/>
              <w:gridCol w:w="2268"/>
              <w:gridCol w:w="848"/>
              <w:gridCol w:w="1289"/>
              <w:gridCol w:w="297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41" w:hRule="atLeast"/>
              </w:trPr>
              <w:tc>
                <w:tcPr>
                  <w:tcW w:w="874" w:type="dxa"/>
                  <w:tcBorders>
                    <w:top w:val="single" w:color="auto" w:sz="4" w:space="0"/>
                    <w:left w:val="single" w:color="auto" w:sz="4" w:space="0"/>
                    <w:bottom w:val="single" w:color="auto" w:sz="6" w:space="0"/>
                    <w:right w:val="single" w:color="auto" w:sz="6" w:space="0"/>
                  </w:tcBorders>
                  <w:vAlign w:val="center"/>
                </w:tcPr>
                <w:p>
                  <w:pPr>
                    <w:spacing w:before="93" w:beforeLines="30" w:after="62" w:afterLines="20"/>
                    <w:jc w:val="center"/>
                    <w:rPr>
                      <w:color w:val="auto"/>
                    </w:rPr>
                  </w:pPr>
                  <w:r>
                    <w:rPr>
                      <w:color w:val="auto"/>
                    </w:rPr>
                    <w:t>类别</w:t>
                  </w:r>
                </w:p>
              </w:tc>
              <w:tc>
                <w:tcPr>
                  <w:tcW w:w="3114" w:type="dxa"/>
                  <w:gridSpan w:val="2"/>
                  <w:tcBorders>
                    <w:top w:val="single" w:color="auto" w:sz="4" w:space="0"/>
                    <w:left w:val="single" w:color="auto" w:sz="6" w:space="0"/>
                    <w:bottom w:val="single" w:color="auto" w:sz="6" w:space="0"/>
                    <w:right w:val="single" w:color="auto" w:sz="6" w:space="0"/>
                  </w:tcBorders>
                  <w:vAlign w:val="center"/>
                </w:tcPr>
                <w:p>
                  <w:pPr>
                    <w:spacing w:before="93" w:beforeLines="30" w:after="62" w:afterLines="20"/>
                    <w:jc w:val="center"/>
                    <w:rPr>
                      <w:color w:val="auto"/>
                    </w:rPr>
                  </w:pPr>
                  <w:r>
                    <w:rPr>
                      <w:color w:val="auto"/>
                    </w:rPr>
                    <w:t>监测项目</w:t>
                  </w:r>
                </w:p>
              </w:tc>
              <w:tc>
                <w:tcPr>
                  <w:tcW w:w="848" w:type="dxa"/>
                  <w:tcBorders>
                    <w:top w:val="single" w:color="auto" w:sz="4" w:space="0"/>
                    <w:left w:val="single" w:color="auto" w:sz="6" w:space="0"/>
                    <w:bottom w:val="single" w:color="auto" w:sz="6" w:space="0"/>
                    <w:right w:val="single" w:color="auto" w:sz="6" w:space="0"/>
                  </w:tcBorders>
                  <w:vAlign w:val="center"/>
                </w:tcPr>
                <w:p>
                  <w:pPr>
                    <w:spacing w:before="93" w:beforeLines="30" w:after="62" w:afterLines="20"/>
                    <w:jc w:val="center"/>
                    <w:rPr>
                      <w:color w:val="auto"/>
                    </w:rPr>
                  </w:pPr>
                  <w:r>
                    <w:rPr>
                      <w:color w:val="auto"/>
                    </w:rPr>
                    <w:t>监测点位</w:t>
                  </w:r>
                </w:p>
              </w:tc>
              <w:tc>
                <w:tcPr>
                  <w:tcW w:w="1289" w:type="dxa"/>
                  <w:tcBorders>
                    <w:top w:val="single" w:color="auto" w:sz="4" w:space="0"/>
                    <w:left w:val="single" w:color="auto" w:sz="6" w:space="0"/>
                    <w:bottom w:val="single" w:color="auto" w:sz="6" w:space="0"/>
                    <w:right w:val="single" w:color="auto" w:sz="6" w:space="0"/>
                  </w:tcBorders>
                  <w:vAlign w:val="center"/>
                </w:tcPr>
                <w:p>
                  <w:pPr>
                    <w:spacing w:before="93" w:beforeLines="30" w:after="62" w:afterLines="20"/>
                    <w:jc w:val="center"/>
                    <w:rPr>
                      <w:color w:val="auto"/>
                    </w:rPr>
                  </w:pPr>
                  <w:r>
                    <w:rPr>
                      <w:color w:val="auto"/>
                    </w:rPr>
                    <w:t>监测频率</w:t>
                  </w:r>
                </w:p>
              </w:tc>
              <w:tc>
                <w:tcPr>
                  <w:tcW w:w="2976" w:type="dxa"/>
                  <w:tcBorders>
                    <w:top w:val="single" w:color="auto" w:sz="4" w:space="0"/>
                    <w:left w:val="single" w:color="auto" w:sz="6" w:space="0"/>
                    <w:bottom w:val="single" w:color="auto" w:sz="6" w:space="0"/>
                    <w:right w:val="single" w:color="auto" w:sz="4" w:space="0"/>
                  </w:tcBorders>
                  <w:vAlign w:val="center"/>
                </w:tcPr>
                <w:p>
                  <w:pPr>
                    <w:spacing w:before="93" w:beforeLines="30" w:after="62" w:afterLines="20"/>
                    <w:jc w:val="center"/>
                    <w:rPr>
                      <w:color w:val="auto"/>
                    </w:rPr>
                  </w:pPr>
                  <w:r>
                    <w:rPr>
                      <w:color w:val="auto"/>
                    </w:rPr>
                    <w:t>控制标准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70" w:hRule="atLeast"/>
              </w:trPr>
              <w:tc>
                <w:tcPr>
                  <w:tcW w:w="874" w:type="dxa"/>
                  <w:vMerge w:val="restart"/>
                  <w:tcBorders>
                    <w:top w:val="single" w:color="auto" w:sz="6" w:space="0"/>
                    <w:left w:val="single" w:color="auto" w:sz="4" w:space="0"/>
                    <w:right w:val="single" w:color="auto" w:sz="6" w:space="0"/>
                  </w:tcBorders>
                  <w:vAlign w:val="center"/>
                </w:tcPr>
                <w:p>
                  <w:pPr>
                    <w:spacing w:before="93" w:beforeLines="30" w:after="62" w:afterLines="20"/>
                    <w:jc w:val="center"/>
                    <w:rPr>
                      <w:color w:val="auto"/>
                    </w:rPr>
                  </w:pPr>
                  <w:r>
                    <w:rPr>
                      <w:rFonts w:hint="eastAsia"/>
                      <w:color w:val="auto"/>
                    </w:rPr>
                    <w:t>锅炉烟气</w:t>
                  </w:r>
                </w:p>
              </w:tc>
              <w:tc>
                <w:tcPr>
                  <w:tcW w:w="846"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在线监测</w:t>
                  </w:r>
                </w:p>
              </w:tc>
              <w:tc>
                <w:tcPr>
                  <w:tcW w:w="2268"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颗粒物、SO</w:t>
                  </w:r>
                  <w:r>
                    <w:rPr>
                      <w:rFonts w:hint="eastAsia"/>
                      <w:color w:val="auto"/>
                      <w:vertAlign w:val="subscript"/>
                    </w:rPr>
                    <w:t>2</w:t>
                  </w:r>
                  <w:r>
                    <w:rPr>
                      <w:rFonts w:hint="eastAsia"/>
                      <w:color w:val="auto"/>
                    </w:rPr>
                    <w:t>、NO</w:t>
                  </w:r>
                  <w:r>
                    <w:rPr>
                      <w:rFonts w:hint="eastAsia"/>
                      <w:color w:val="auto"/>
                      <w:vertAlign w:val="subscript"/>
                    </w:rPr>
                    <w:t>X</w:t>
                  </w:r>
                  <w:r>
                    <w:rPr>
                      <w:rFonts w:hint="eastAsia"/>
                      <w:color w:val="auto"/>
                    </w:rPr>
                    <w:t>浓度，烟气参数（温度、压力、流速或流量、湿度、含氧量等）</w:t>
                  </w:r>
                </w:p>
              </w:tc>
              <w:tc>
                <w:tcPr>
                  <w:tcW w:w="848"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各烟囱排放口</w:t>
                  </w:r>
                </w:p>
              </w:tc>
              <w:tc>
                <w:tcPr>
                  <w:tcW w:w="1289"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自动连续监测</w:t>
                  </w:r>
                </w:p>
              </w:tc>
              <w:tc>
                <w:tcPr>
                  <w:tcW w:w="2976" w:type="dxa"/>
                  <w:tcBorders>
                    <w:top w:val="single" w:color="auto" w:sz="6" w:space="0"/>
                    <w:left w:val="single" w:color="auto" w:sz="6" w:space="0"/>
                    <w:bottom w:val="single" w:color="auto" w:sz="6" w:space="0"/>
                    <w:right w:val="single" w:color="auto" w:sz="4" w:space="0"/>
                  </w:tcBorders>
                  <w:vAlign w:val="center"/>
                </w:tcPr>
                <w:p>
                  <w:pPr>
                    <w:spacing w:before="93" w:beforeLines="30" w:after="62" w:afterLines="20"/>
                    <w:rPr>
                      <w:color w:val="auto"/>
                    </w:rPr>
                  </w:pPr>
                  <w:r>
                    <w:rPr>
                      <w:rFonts w:hint="eastAsia"/>
                      <w:color w:val="auto"/>
                    </w:rPr>
                    <w:t>《关中地区重点行业大气污染物排放限值》（DB61/941-2014）标准限值；</w:t>
                  </w:r>
                  <w:r>
                    <w:rPr>
                      <w:color w:val="auto"/>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376" w:hRule="atLeast"/>
              </w:trPr>
              <w:tc>
                <w:tcPr>
                  <w:tcW w:w="874" w:type="dxa"/>
                  <w:vMerge w:val="continue"/>
                  <w:tcBorders>
                    <w:left w:val="single" w:color="auto" w:sz="4" w:space="0"/>
                    <w:right w:val="single" w:color="auto" w:sz="6" w:space="0"/>
                  </w:tcBorders>
                  <w:vAlign w:val="center"/>
                </w:tcPr>
                <w:p>
                  <w:pPr>
                    <w:spacing w:before="93" w:beforeLines="30" w:after="62" w:afterLines="20"/>
                    <w:jc w:val="center"/>
                    <w:rPr>
                      <w:color w:val="auto"/>
                    </w:rPr>
                  </w:pPr>
                </w:p>
              </w:tc>
              <w:tc>
                <w:tcPr>
                  <w:tcW w:w="846"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自行监测</w:t>
                  </w:r>
                </w:p>
              </w:tc>
              <w:tc>
                <w:tcPr>
                  <w:tcW w:w="2268"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颗粒物、SO</w:t>
                  </w:r>
                  <w:r>
                    <w:rPr>
                      <w:rFonts w:hint="eastAsia"/>
                      <w:color w:val="auto"/>
                      <w:vertAlign w:val="subscript"/>
                    </w:rPr>
                    <w:t>2</w:t>
                  </w:r>
                  <w:r>
                    <w:rPr>
                      <w:rFonts w:hint="eastAsia"/>
                      <w:color w:val="auto"/>
                    </w:rPr>
                    <w:t>、NO</w:t>
                  </w:r>
                  <w:r>
                    <w:rPr>
                      <w:rFonts w:hint="eastAsia"/>
                      <w:color w:val="auto"/>
                      <w:vertAlign w:val="subscript"/>
                    </w:rPr>
                    <w:t>X</w:t>
                  </w:r>
                  <w:r>
                    <w:rPr>
                      <w:rFonts w:hint="eastAsia"/>
                      <w:color w:val="auto"/>
                    </w:rPr>
                    <w:t>、林格曼黑度、烟气流速、烟气温度、烟气压力、含氧量</w:t>
                  </w:r>
                </w:p>
              </w:tc>
              <w:tc>
                <w:tcPr>
                  <w:tcW w:w="848"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各烟囱排放口</w:t>
                  </w:r>
                </w:p>
              </w:tc>
              <w:tc>
                <w:tcPr>
                  <w:tcW w:w="1289"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在线监测故障时每4小时至少监测1次，每天不少于6次</w:t>
                  </w:r>
                </w:p>
              </w:tc>
              <w:tc>
                <w:tcPr>
                  <w:tcW w:w="2976" w:type="dxa"/>
                  <w:tcBorders>
                    <w:top w:val="single" w:color="auto" w:sz="6" w:space="0"/>
                    <w:left w:val="single" w:color="auto" w:sz="6" w:space="0"/>
                    <w:bottom w:val="single" w:color="auto" w:sz="6" w:space="0"/>
                    <w:right w:val="single" w:color="auto" w:sz="4" w:space="0"/>
                  </w:tcBorders>
                  <w:vAlign w:val="center"/>
                </w:tcPr>
                <w:p>
                  <w:pPr>
                    <w:spacing w:before="93" w:beforeLines="30" w:after="62" w:afterLines="20"/>
                    <w:rPr>
                      <w:color w:val="auto"/>
                    </w:rPr>
                  </w:pPr>
                  <w:r>
                    <w:rPr>
                      <w:rFonts w:hint="eastAsia"/>
                      <w:color w:val="auto"/>
                    </w:rPr>
                    <w:t>《关中地区重点行业大气污染物排放限值》（DB61/941-2014）标准限值；《火电厂大气污染物排放标准》（GB13223-2011）标准限值</w:t>
                  </w:r>
                  <w:r>
                    <w:rPr>
                      <w:color w:val="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7" w:hRule="atLeast"/>
              </w:trPr>
              <w:tc>
                <w:tcPr>
                  <w:tcW w:w="874" w:type="dxa"/>
                  <w:vMerge w:val="continue"/>
                  <w:tcBorders>
                    <w:left w:val="single" w:color="auto" w:sz="4" w:space="0"/>
                    <w:bottom w:val="single" w:color="auto" w:sz="6" w:space="0"/>
                    <w:right w:val="single" w:color="auto" w:sz="6" w:space="0"/>
                  </w:tcBorders>
                  <w:vAlign w:val="center"/>
                </w:tcPr>
                <w:p>
                  <w:pPr>
                    <w:spacing w:before="93" w:beforeLines="30" w:after="62" w:afterLines="20"/>
                    <w:jc w:val="center"/>
                    <w:rPr>
                      <w:color w:val="auto"/>
                    </w:rPr>
                  </w:pPr>
                </w:p>
              </w:tc>
              <w:tc>
                <w:tcPr>
                  <w:tcW w:w="846"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委托监测</w:t>
                  </w:r>
                </w:p>
              </w:tc>
              <w:tc>
                <w:tcPr>
                  <w:tcW w:w="2268"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颗粒物、SO</w:t>
                  </w:r>
                  <w:r>
                    <w:rPr>
                      <w:rFonts w:hint="eastAsia"/>
                      <w:color w:val="auto"/>
                      <w:vertAlign w:val="subscript"/>
                    </w:rPr>
                    <w:t>2</w:t>
                  </w:r>
                  <w:r>
                    <w:rPr>
                      <w:rFonts w:hint="eastAsia"/>
                      <w:color w:val="auto"/>
                    </w:rPr>
                    <w:t>、NO</w:t>
                  </w:r>
                  <w:r>
                    <w:rPr>
                      <w:rFonts w:hint="eastAsia"/>
                      <w:color w:val="auto"/>
                      <w:vertAlign w:val="subscript"/>
                    </w:rPr>
                    <w:t>X</w:t>
                  </w:r>
                  <w:r>
                    <w:rPr>
                      <w:rFonts w:hint="eastAsia"/>
                      <w:color w:val="auto"/>
                    </w:rPr>
                    <w:t>、林格曼黑度、烟气流速、烟气温度、烟气压力、含氧量</w:t>
                  </w:r>
                </w:p>
              </w:tc>
              <w:tc>
                <w:tcPr>
                  <w:tcW w:w="848"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各烟囱排放口</w:t>
                  </w:r>
                </w:p>
              </w:tc>
              <w:tc>
                <w:tcPr>
                  <w:tcW w:w="1289"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1次/季度</w:t>
                  </w:r>
                </w:p>
              </w:tc>
              <w:tc>
                <w:tcPr>
                  <w:tcW w:w="2976" w:type="dxa"/>
                  <w:tcBorders>
                    <w:top w:val="single" w:color="auto" w:sz="6" w:space="0"/>
                    <w:left w:val="single" w:color="auto" w:sz="6" w:space="0"/>
                    <w:bottom w:val="single" w:color="auto" w:sz="6" w:space="0"/>
                    <w:right w:val="single" w:color="auto" w:sz="4" w:space="0"/>
                  </w:tcBorders>
                  <w:vAlign w:val="center"/>
                </w:tcPr>
                <w:p>
                  <w:pPr>
                    <w:spacing w:before="93" w:beforeLines="30" w:after="62" w:afterLines="20"/>
                    <w:rPr>
                      <w:color w:val="auto"/>
                    </w:rPr>
                  </w:pPr>
                  <w:r>
                    <w:rPr>
                      <w:rFonts w:hint="eastAsia"/>
                      <w:color w:val="auto"/>
                    </w:rPr>
                    <w:t>《关中地区重点行业大气污染物排放限值》（DB61/941-2014）标准限值；《火电厂大气污染物排放标准》（GB13223-2011）标准限值</w:t>
                  </w:r>
                  <w:r>
                    <w:rPr>
                      <w:color w:val="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85" w:hRule="atLeast"/>
              </w:trPr>
              <w:tc>
                <w:tcPr>
                  <w:tcW w:w="874" w:type="dxa"/>
                  <w:vMerge w:val="restart"/>
                  <w:tcBorders>
                    <w:top w:val="single" w:color="auto" w:sz="6" w:space="0"/>
                    <w:left w:val="single" w:color="auto" w:sz="4" w:space="0"/>
                    <w:right w:val="single" w:color="auto" w:sz="6" w:space="0"/>
                  </w:tcBorders>
                  <w:vAlign w:val="center"/>
                </w:tcPr>
                <w:p>
                  <w:pPr>
                    <w:spacing w:before="93" w:beforeLines="30" w:after="62" w:afterLines="20"/>
                    <w:jc w:val="center"/>
                    <w:rPr>
                      <w:color w:val="auto"/>
                    </w:rPr>
                  </w:pPr>
                  <w:r>
                    <w:rPr>
                      <w:rFonts w:hint="eastAsia"/>
                      <w:color w:val="auto"/>
                    </w:rPr>
                    <w:t>厂界无组织废气</w:t>
                  </w:r>
                </w:p>
              </w:tc>
              <w:tc>
                <w:tcPr>
                  <w:tcW w:w="846"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自行监测</w:t>
                  </w:r>
                </w:p>
              </w:tc>
              <w:tc>
                <w:tcPr>
                  <w:tcW w:w="2268"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颗粒物、NH</w:t>
                  </w:r>
                  <w:r>
                    <w:rPr>
                      <w:rFonts w:hint="eastAsia"/>
                      <w:color w:val="auto"/>
                      <w:vertAlign w:val="subscript"/>
                    </w:rPr>
                    <w:t>3</w:t>
                  </w:r>
                </w:p>
              </w:tc>
              <w:tc>
                <w:tcPr>
                  <w:tcW w:w="848"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jc w:val="center"/>
                    <w:rPr>
                      <w:color w:val="auto"/>
                    </w:rPr>
                  </w:pPr>
                  <w:r>
                    <w:rPr>
                      <w:rFonts w:hint="eastAsia"/>
                      <w:color w:val="auto"/>
                    </w:rPr>
                    <w:t>厂界</w:t>
                  </w:r>
                </w:p>
              </w:tc>
              <w:tc>
                <w:tcPr>
                  <w:tcW w:w="1289"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jc w:val="center"/>
                    <w:rPr>
                      <w:color w:val="auto"/>
                    </w:rPr>
                  </w:pPr>
                  <w:r>
                    <w:rPr>
                      <w:rFonts w:hint="eastAsia"/>
                      <w:color w:val="auto"/>
                    </w:rPr>
                    <w:t>1次/季</w:t>
                  </w:r>
                </w:p>
              </w:tc>
              <w:tc>
                <w:tcPr>
                  <w:tcW w:w="2976" w:type="dxa"/>
                  <w:vMerge w:val="restart"/>
                  <w:tcBorders>
                    <w:top w:val="single" w:color="auto" w:sz="6" w:space="0"/>
                    <w:left w:val="single" w:color="auto" w:sz="6" w:space="0"/>
                    <w:right w:val="single" w:color="auto" w:sz="4" w:space="0"/>
                  </w:tcBorders>
                  <w:vAlign w:val="center"/>
                </w:tcPr>
                <w:p>
                  <w:pPr>
                    <w:spacing w:before="93" w:beforeLines="30" w:after="62" w:afterLines="20"/>
                    <w:rPr>
                      <w:color w:val="auto"/>
                    </w:rPr>
                  </w:pPr>
                  <w:r>
                    <w:rPr>
                      <w:rFonts w:hint="eastAsia"/>
                      <w:color w:val="auto"/>
                    </w:rPr>
                    <w:t>《大气污染物综合排放标准》（GB16297-1996）、《恶臭污染物排放标准》（GB14554-93）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29" w:hRule="atLeast"/>
              </w:trPr>
              <w:tc>
                <w:tcPr>
                  <w:tcW w:w="874" w:type="dxa"/>
                  <w:vMerge w:val="continue"/>
                  <w:tcBorders>
                    <w:left w:val="single" w:color="auto" w:sz="4" w:space="0"/>
                    <w:bottom w:val="single" w:color="auto" w:sz="6" w:space="0"/>
                    <w:right w:val="single" w:color="auto" w:sz="6" w:space="0"/>
                  </w:tcBorders>
                  <w:vAlign w:val="center"/>
                </w:tcPr>
                <w:p>
                  <w:pPr>
                    <w:spacing w:before="93" w:beforeLines="30" w:after="62" w:afterLines="20"/>
                    <w:jc w:val="center"/>
                    <w:rPr>
                      <w:color w:val="auto"/>
                    </w:rPr>
                  </w:pPr>
                </w:p>
              </w:tc>
              <w:tc>
                <w:tcPr>
                  <w:tcW w:w="846"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委托监测</w:t>
                  </w:r>
                </w:p>
              </w:tc>
              <w:tc>
                <w:tcPr>
                  <w:tcW w:w="2268"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rPr>
                      <w:color w:val="auto"/>
                    </w:rPr>
                  </w:pPr>
                  <w:r>
                    <w:rPr>
                      <w:rFonts w:hint="eastAsia"/>
                      <w:color w:val="auto"/>
                    </w:rPr>
                    <w:t>颗粒物、NH</w:t>
                  </w:r>
                  <w:r>
                    <w:rPr>
                      <w:rFonts w:hint="eastAsia"/>
                      <w:color w:val="auto"/>
                      <w:vertAlign w:val="subscript"/>
                    </w:rPr>
                    <w:t>3</w:t>
                  </w:r>
                </w:p>
              </w:tc>
              <w:tc>
                <w:tcPr>
                  <w:tcW w:w="848"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jc w:val="center"/>
                    <w:rPr>
                      <w:color w:val="auto"/>
                    </w:rPr>
                  </w:pPr>
                  <w:r>
                    <w:rPr>
                      <w:rFonts w:hint="eastAsia"/>
                      <w:color w:val="auto"/>
                    </w:rPr>
                    <w:t>厂界</w:t>
                  </w:r>
                </w:p>
              </w:tc>
              <w:tc>
                <w:tcPr>
                  <w:tcW w:w="1289" w:type="dxa"/>
                  <w:tcBorders>
                    <w:top w:val="single" w:color="auto" w:sz="6" w:space="0"/>
                    <w:left w:val="single" w:color="auto" w:sz="6" w:space="0"/>
                    <w:bottom w:val="single" w:color="auto" w:sz="6" w:space="0"/>
                    <w:right w:val="single" w:color="auto" w:sz="6" w:space="0"/>
                  </w:tcBorders>
                  <w:vAlign w:val="center"/>
                </w:tcPr>
                <w:p>
                  <w:pPr>
                    <w:spacing w:before="93" w:beforeLines="30" w:after="62" w:afterLines="20"/>
                    <w:jc w:val="center"/>
                    <w:rPr>
                      <w:color w:val="auto"/>
                    </w:rPr>
                  </w:pPr>
                  <w:r>
                    <w:rPr>
                      <w:rFonts w:hint="eastAsia"/>
                      <w:color w:val="auto"/>
                    </w:rPr>
                    <w:t>1次/季</w:t>
                  </w:r>
                </w:p>
              </w:tc>
              <w:tc>
                <w:tcPr>
                  <w:tcW w:w="2976" w:type="dxa"/>
                  <w:vMerge w:val="continue"/>
                  <w:tcBorders>
                    <w:left w:val="single" w:color="auto" w:sz="6" w:space="0"/>
                    <w:bottom w:val="single" w:color="auto" w:sz="6" w:space="0"/>
                    <w:right w:val="single" w:color="auto" w:sz="4" w:space="0"/>
                  </w:tcBorders>
                  <w:vAlign w:val="center"/>
                </w:tcPr>
                <w:p>
                  <w:pPr>
                    <w:spacing w:before="93" w:beforeLines="30" w:after="62" w:afterLines="20"/>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13" w:hRule="atLeast"/>
              </w:trPr>
              <w:tc>
                <w:tcPr>
                  <w:tcW w:w="874" w:type="dxa"/>
                  <w:tcBorders>
                    <w:top w:val="single" w:color="auto" w:sz="6" w:space="0"/>
                    <w:left w:val="single" w:color="auto" w:sz="4" w:space="0"/>
                    <w:bottom w:val="single" w:color="auto" w:sz="4" w:space="0"/>
                    <w:right w:val="single" w:color="auto" w:sz="6" w:space="0"/>
                  </w:tcBorders>
                  <w:vAlign w:val="center"/>
                </w:tcPr>
                <w:p>
                  <w:pPr>
                    <w:spacing w:before="93" w:beforeLines="30" w:after="62" w:afterLines="20"/>
                    <w:jc w:val="center"/>
                    <w:rPr>
                      <w:color w:val="auto"/>
                    </w:rPr>
                  </w:pPr>
                  <w:r>
                    <w:rPr>
                      <w:color w:val="auto"/>
                    </w:rPr>
                    <w:t>声环境</w:t>
                  </w:r>
                </w:p>
              </w:tc>
              <w:tc>
                <w:tcPr>
                  <w:tcW w:w="3114" w:type="dxa"/>
                  <w:gridSpan w:val="2"/>
                  <w:tcBorders>
                    <w:top w:val="single" w:color="auto" w:sz="6" w:space="0"/>
                    <w:left w:val="single" w:color="auto" w:sz="6" w:space="0"/>
                    <w:bottom w:val="single" w:color="auto" w:sz="4" w:space="0"/>
                    <w:right w:val="single" w:color="auto" w:sz="6" w:space="0"/>
                  </w:tcBorders>
                  <w:vAlign w:val="center"/>
                </w:tcPr>
                <w:p>
                  <w:pPr>
                    <w:spacing w:before="93" w:beforeLines="30" w:after="62" w:afterLines="20"/>
                    <w:jc w:val="center"/>
                    <w:rPr>
                      <w:color w:val="auto"/>
                      <w:vertAlign w:val="subscript"/>
                    </w:rPr>
                  </w:pPr>
                  <w:r>
                    <w:rPr>
                      <w:color w:val="auto"/>
                    </w:rPr>
                    <w:t>厂界噪声</w:t>
                  </w:r>
                </w:p>
              </w:tc>
              <w:tc>
                <w:tcPr>
                  <w:tcW w:w="848" w:type="dxa"/>
                  <w:tcBorders>
                    <w:top w:val="single" w:color="auto" w:sz="6" w:space="0"/>
                    <w:left w:val="single" w:color="auto" w:sz="6" w:space="0"/>
                    <w:bottom w:val="single" w:color="auto" w:sz="4" w:space="0"/>
                    <w:right w:val="single" w:color="auto" w:sz="6" w:space="0"/>
                  </w:tcBorders>
                  <w:vAlign w:val="center"/>
                </w:tcPr>
                <w:p>
                  <w:pPr>
                    <w:spacing w:before="93" w:beforeLines="30" w:after="62" w:afterLines="20"/>
                    <w:jc w:val="center"/>
                    <w:rPr>
                      <w:color w:val="auto"/>
                    </w:rPr>
                  </w:pPr>
                  <w:r>
                    <w:rPr>
                      <w:rFonts w:hint="eastAsia"/>
                      <w:color w:val="auto"/>
                    </w:rPr>
                    <w:t>厂界</w:t>
                  </w:r>
                </w:p>
              </w:tc>
              <w:tc>
                <w:tcPr>
                  <w:tcW w:w="1289" w:type="dxa"/>
                  <w:tcBorders>
                    <w:top w:val="single" w:color="auto" w:sz="6" w:space="0"/>
                    <w:left w:val="single" w:color="auto" w:sz="6" w:space="0"/>
                    <w:bottom w:val="single" w:color="auto" w:sz="4" w:space="0"/>
                    <w:right w:val="single" w:color="auto" w:sz="6" w:space="0"/>
                  </w:tcBorders>
                  <w:vAlign w:val="center"/>
                </w:tcPr>
                <w:p>
                  <w:pPr>
                    <w:spacing w:before="93" w:beforeLines="30" w:after="62" w:afterLines="20"/>
                    <w:jc w:val="center"/>
                    <w:rPr>
                      <w:color w:val="auto"/>
                    </w:rPr>
                  </w:pPr>
                  <w:r>
                    <w:rPr>
                      <w:rFonts w:hint="eastAsia"/>
                      <w:color w:val="auto"/>
                    </w:rPr>
                    <w:t>1次/季</w:t>
                  </w:r>
                </w:p>
              </w:tc>
              <w:tc>
                <w:tcPr>
                  <w:tcW w:w="2976" w:type="dxa"/>
                  <w:tcBorders>
                    <w:top w:val="single" w:color="auto" w:sz="6" w:space="0"/>
                    <w:left w:val="single" w:color="auto" w:sz="6" w:space="0"/>
                    <w:bottom w:val="single" w:color="auto" w:sz="4" w:space="0"/>
                    <w:right w:val="single" w:color="auto" w:sz="4" w:space="0"/>
                  </w:tcBorders>
                  <w:vAlign w:val="center"/>
                </w:tcPr>
                <w:p>
                  <w:pPr>
                    <w:spacing w:before="93" w:beforeLines="30" w:after="62" w:afterLines="20"/>
                    <w:rPr>
                      <w:color w:val="auto"/>
                    </w:rPr>
                  </w:pPr>
                  <w:r>
                    <w:rPr>
                      <w:rFonts w:hint="eastAsia"/>
                      <w:color w:val="auto"/>
                    </w:rPr>
                    <w:t>《工业企业厂界环境噪声排放标准》（</w:t>
                  </w:r>
                  <w:r>
                    <w:rPr>
                      <w:color w:val="auto"/>
                    </w:rPr>
                    <w:t>GB12348-2008</w:t>
                  </w:r>
                  <w:r>
                    <w:rPr>
                      <w:rFonts w:hint="eastAsia"/>
                      <w:color w:val="auto"/>
                    </w:rPr>
                    <w:t>）3</w:t>
                  </w:r>
                  <w:r>
                    <w:rPr>
                      <w:color w:val="auto"/>
                    </w:rPr>
                    <w:t>类标准限值</w:t>
                  </w:r>
                </w:p>
              </w:tc>
            </w:tr>
          </w:tbl>
          <w:p>
            <w:pPr>
              <w:autoSpaceDE w:val="0"/>
              <w:autoSpaceDN w:val="0"/>
              <w:adjustRightInd w:val="0"/>
              <w:spacing w:line="360" w:lineRule="auto"/>
              <w:ind w:firstLine="482" w:firstLineChars="200"/>
              <w:jc w:val="left"/>
              <w:rPr>
                <w:rFonts w:eastAsiaTheme="minorEastAsia"/>
                <w:b/>
                <w:color w:val="auto"/>
                <w:kern w:val="0"/>
                <w:sz w:val="24"/>
                <w:szCs w:val="24"/>
              </w:rPr>
            </w:pPr>
            <w:bookmarkStart w:id="4" w:name="_Toc477186640"/>
            <w:r>
              <w:rPr>
                <w:rFonts w:hint="eastAsia" w:eastAsiaTheme="minorEastAsia"/>
                <w:b/>
                <w:color w:val="auto"/>
                <w:kern w:val="0"/>
                <w:sz w:val="24"/>
                <w:szCs w:val="24"/>
              </w:rPr>
              <w:t>三、排污口</w:t>
            </w:r>
            <w:bookmarkEnd w:id="4"/>
            <w:r>
              <w:rPr>
                <w:rFonts w:hint="eastAsia" w:eastAsiaTheme="minorEastAsia"/>
                <w:b/>
                <w:color w:val="auto"/>
                <w:kern w:val="0"/>
                <w:sz w:val="24"/>
                <w:szCs w:val="24"/>
              </w:rPr>
              <w:t>和在线监测系统设置</w:t>
            </w:r>
          </w:p>
          <w:p>
            <w:pPr>
              <w:spacing w:line="360" w:lineRule="auto"/>
              <w:ind w:firstLine="480" w:firstLineChars="200"/>
              <w:rPr>
                <w:rFonts w:hAnsi="Calibri"/>
                <w:color w:val="auto"/>
                <w:sz w:val="24"/>
                <w:szCs w:val="24"/>
              </w:rPr>
            </w:pPr>
            <w:r>
              <w:rPr>
                <w:rFonts w:hAnsi="Calibri"/>
                <w:color w:val="auto"/>
                <w:sz w:val="24"/>
                <w:szCs w:val="24"/>
              </w:rPr>
              <w:fldChar w:fldCharType="begin"/>
            </w:r>
            <w:r>
              <w:rPr>
                <w:rFonts w:hint="eastAsia" w:hAnsi="Calibri"/>
                <w:color w:val="auto"/>
                <w:sz w:val="24"/>
                <w:szCs w:val="24"/>
              </w:rPr>
              <w:instrText xml:space="preserve">= 1 \* GB2</w:instrText>
            </w:r>
            <w:r>
              <w:rPr>
                <w:rFonts w:hAnsi="Calibri"/>
                <w:color w:val="auto"/>
                <w:sz w:val="24"/>
                <w:szCs w:val="24"/>
              </w:rPr>
              <w:fldChar w:fldCharType="separate"/>
            </w:r>
            <w:r>
              <w:rPr>
                <w:rFonts w:hint="eastAsia" w:hAnsi="Calibri"/>
                <w:color w:val="auto"/>
                <w:sz w:val="24"/>
                <w:szCs w:val="24"/>
              </w:rPr>
              <w:t>⑴</w:t>
            </w:r>
            <w:r>
              <w:rPr>
                <w:rFonts w:hAnsi="Calibri"/>
                <w:color w:val="auto"/>
                <w:sz w:val="24"/>
                <w:szCs w:val="24"/>
              </w:rPr>
              <w:fldChar w:fldCharType="end"/>
            </w:r>
            <w:r>
              <w:rPr>
                <w:rFonts w:hint="eastAsia" w:hAnsi="Calibri"/>
                <w:color w:val="auto"/>
                <w:sz w:val="24"/>
                <w:szCs w:val="24"/>
              </w:rPr>
              <w:t>排污口信息</w:t>
            </w:r>
          </w:p>
          <w:p>
            <w:pPr>
              <w:spacing w:line="360" w:lineRule="auto"/>
              <w:ind w:firstLine="480" w:firstLineChars="200"/>
              <w:rPr>
                <w:rFonts w:hAnsi="Calibri"/>
                <w:color w:val="auto"/>
                <w:sz w:val="24"/>
                <w:szCs w:val="24"/>
              </w:rPr>
            </w:pPr>
            <w:r>
              <w:rPr>
                <w:rFonts w:hint="eastAsia" w:hAnsi="Calibri"/>
                <w:color w:val="auto"/>
                <w:sz w:val="24"/>
                <w:szCs w:val="24"/>
              </w:rPr>
              <w:t>拟建项目应根据《环境保护图形标志—排放口（源）》</w:t>
            </w:r>
            <w:r>
              <w:rPr>
                <w:rFonts w:hAnsi="Calibri"/>
                <w:color w:val="auto"/>
                <w:sz w:val="24"/>
                <w:szCs w:val="24"/>
              </w:rPr>
              <w:t>（GB15562.1-1995）</w:t>
            </w:r>
            <w:r>
              <w:rPr>
                <w:rFonts w:hint="eastAsia" w:hAnsi="Calibri"/>
                <w:color w:val="auto"/>
                <w:sz w:val="24"/>
                <w:szCs w:val="24"/>
              </w:rPr>
              <w:t>以及环境保护图形标志—固体废物贮存（处置）场》</w:t>
            </w:r>
            <w:r>
              <w:rPr>
                <w:rFonts w:hAnsi="Calibri"/>
                <w:color w:val="auto"/>
                <w:sz w:val="24"/>
                <w:szCs w:val="24"/>
              </w:rPr>
              <w:t>（GB15562.</w:t>
            </w:r>
            <w:r>
              <w:rPr>
                <w:rFonts w:hint="eastAsia" w:hAnsi="Calibri"/>
                <w:color w:val="auto"/>
                <w:sz w:val="24"/>
                <w:szCs w:val="24"/>
              </w:rPr>
              <w:t>2</w:t>
            </w:r>
            <w:r>
              <w:rPr>
                <w:rFonts w:hAnsi="Calibri"/>
                <w:color w:val="auto"/>
                <w:sz w:val="24"/>
                <w:szCs w:val="24"/>
              </w:rPr>
              <w:t>-1995）</w:t>
            </w:r>
            <w:r>
              <w:rPr>
                <w:rFonts w:hint="eastAsia" w:hAnsi="Calibri"/>
                <w:color w:val="auto"/>
                <w:sz w:val="24"/>
                <w:szCs w:val="24"/>
              </w:rPr>
              <w:t>规定的图形，在各气、水、排污口（源）和固体废物贮存场设置提示性环境保护图形标志，做到各排污口（源）的环保标志明显，便于企业管理和公众监督。</w:t>
            </w:r>
          </w:p>
          <w:p>
            <w:pPr>
              <w:spacing w:line="360" w:lineRule="auto"/>
              <w:ind w:firstLine="480" w:firstLineChars="200"/>
              <w:rPr>
                <w:rFonts w:hAnsi="Calibri"/>
                <w:color w:val="auto"/>
                <w:sz w:val="24"/>
                <w:szCs w:val="24"/>
              </w:rPr>
            </w:pPr>
            <w:r>
              <w:rPr>
                <w:rFonts w:hint="eastAsia" w:hAnsi="Calibri"/>
                <w:color w:val="auto"/>
                <w:sz w:val="24"/>
                <w:szCs w:val="24"/>
              </w:rPr>
              <w:t>环境保护图形标志具体设置图形见表24。</w:t>
            </w:r>
          </w:p>
          <w:p>
            <w:pPr>
              <w:spacing w:line="360" w:lineRule="auto"/>
              <w:ind w:firstLine="480" w:firstLineChars="200"/>
              <w:rPr>
                <w:rFonts w:hAnsi="Calibri"/>
                <w:color w:val="auto"/>
                <w:sz w:val="24"/>
                <w:szCs w:val="24"/>
              </w:rPr>
            </w:pPr>
            <w:r>
              <w:rPr>
                <w:rFonts w:hAnsi="Calibri"/>
                <w:color w:val="auto"/>
                <w:sz w:val="24"/>
                <w:szCs w:val="24"/>
              </w:rPr>
              <w:fldChar w:fldCharType="begin"/>
            </w:r>
            <w:r>
              <w:rPr>
                <w:rFonts w:hint="eastAsia" w:hAnsi="Calibri"/>
                <w:color w:val="auto"/>
                <w:sz w:val="24"/>
                <w:szCs w:val="24"/>
              </w:rPr>
              <w:instrText xml:space="preserve">= 2 \* GB2</w:instrText>
            </w:r>
            <w:r>
              <w:rPr>
                <w:rFonts w:hAnsi="Calibri"/>
                <w:color w:val="auto"/>
                <w:sz w:val="24"/>
                <w:szCs w:val="24"/>
              </w:rPr>
              <w:fldChar w:fldCharType="separate"/>
            </w:r>
            <w:r>
              <w:rPr>
                <w:rFonts w:hint="eastAsia" w:hAnsi="Calibri"/>
                <w:color w:val="auto"/>
                <w:sz w:val="24"/>
                <w:szCs w:val="24"/>
              </w:rPr>
              <w:t>⑵</w:t>
            </w:r>
            <w:r>
              <w:rPr>
                <w:rFonts w:hAnsi="Calibri"/>
                <w:color w:val="auto"/>
                <w:sz w:val="24"/>
                <w:szCs w:val="24"/>
              </w:rPr>
              <w:fldChar w:fldCharType="end"/>
            </w:r>
            <w:r>
              <w:rPr>
                <w:rFonts w:hint="eastAsia" w:hAnsi="Calibri"/>
                <w:color w:val="auto"/>
                <w:sz w:val="24"/>
                <w:szCs w:val="24"/>
              </w:rPr>
              <w:t>在线监测系统设置</w:t>
            </w:r>
          </w:p>
          <w:p>
            <w:pPr>
              <w:spacing w:line="360" w:lineRule="auto"/>
              <w:ind w:firstLine="480" w:firstLineChars="200"/>
              <w:rPr>
                <w:color w:val="auto"/>
                <w:sz w:val="24"/>
                <w:szCs w:val="24"/>
              </w:rPr>
            </w:pPr>
            <w:r>
              <w:rPr>
                <w:rFonts w:hint="eastAsia" w:hAnsi="Calibri"/>
                <w:color w:val="auto"/>
                <w:sz w:val="24"/>
                <w:szCs w:val="24"/>
              </w:rPr>
              <w:t>项目3根烟囱烟气在线监测系统监测指标应至少包括</w:t>
            </w:r>
            <w:r>
              <w:rPr>
                <w:rFonts w:hint="eastAsia"/>
                <w:color w:val="auto"/>
                <w:sz w:val="24"/>
                <w:szCs w:val="24"/>
              </w:rPr>
              <w:t>烟气中颗粒物、SO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r>
              <w:rPr>
                <w:rFonts w:hint="eastAsia"/>
                <w:color w:val="auto"/>
                <w:sz w:val="24"/>
                <w:szCs w:val="24"/>
              </w:rPr>
              <w:t>浓度，烟气参数（温度、压力、流速或流量、湿度、含氧量等），同时计算烟气中污染物排放速率和排放量。</w:t>
            </w:r>
          </w:p>
          <w:p>
            <w:pPr>
              <w:autoSpaceDE w:val="0"/>
              <w:autoSpaceDN w:val="0"/>
              <w:adjustRightInd w:val="0"/>
              <w:spacing w:line="360" w:lineRule="auto"/>
              <w:ind w:firstLine="480" w:firstLineChars="200"/>
              <w:jc w:val="left"/>
              <w:outlineLvl w:val="2"/>
              <w:rPr>
                <w:rFonts w:ascii="黑体" w:hAnsi="Calibri" w:eastAsia="黑体" w:cs="宋体"/>
                <w:b/>
                <w:color w:val="auto"/>
                <w:kern w:val="0"/>
                <w:sz w:val="24"/>
                <w:szCs w:val="24"/>
              </w:rPr>
            </w:pPr>
            <w:r>
              <w:rPr>
                <w:rFonts w:hint="eastAsia" w:hAnsi="Calibri"/>
                <w:color w:val="auto"/>
                <w:sz w:val="24"/>
                <w:szCs w:val="24"/>
              </w:rPr>
              <w:t>在线监测设备运转率应达到90%，以保证监测数据的数量要求；日常运行过程中应建立运行记录、维护记录、维修记录和设备台账；在线监测设备需要停用拆除或更换的，应当事先报环境保护有关部门批准；运行与日常维护、校验、仪器的检修、质量保证与质量控制和技术要求等应符合《固定源污染物烟气（SO</w:t>
            </w:r>
            <w:r>
              <w:rPr>
                <w:rFonts w:hint="eastAsia" w:hAnsi="Calibri"/>
                <w:color w:val="auto"/>
                <w:sz w:val="24"/>
                <w:szCs w:val="24"/>
                <w:vertAlign w:val="subscript"/>
              </w:rPr>
              <w:t>2</w:t>
            </w:r>
            <w:r>
              <w:rPr>
                <w:rFonts w:hint="eastAsia" w:hAnsi="Calibri"/>
                <w:color w:val="auto"/>
                <w:sz w:val="24"/>
                <w:szCs w:val="24"/>
              </w:rPr>
              <w:t>、NO</w:t>
            </w:r>
            <w:r>
              <w:rPr>
                <w:rFonts w:hint="eastAsia" w:hAnsi="Calibri"/>
                <w:color w:val="auto"/>
                <w:sz w:val="24"/>
                <w:szCs w:val="24"/>
                <w:vertAlign w:val="subscript"/>
              </w:rPr>
              <w:t>X</w:t>
            </w:r>
            <w:r>
              <w:rPr>
                <w:rFonts w:hint="eastAsia" w:hAnsi="Calibri"/>
                <w:color w:val="auto"/>
                <w:sz w:val="24"/>
                <w:szCs w:val="24"/>
              </w:rPr>
              <w:t>、颗粒物）排放连续监测技术规范》（HJ75-2017）相关规定。</w:t>
            </w:r>
          </w:p>
          <w:p>
            <w:pPr>
              <w:autoSpaceDE w:val="0"/>
              <w:autoSpaceDN w:val="0"/>
              <w:adjustRightInd w:val="0"/>
              <w:jc w:val="center"/>
              <w:outlineLvl w:val="5"/>
              <w:rPr>
                <w:b/>
                <w:color w:val="auto"/>
                <w:kern w:val="0"/>
                <w:sz w:val="24"/>
                <w:szCs w:val="24"/>
              </w:rPr>
            </w:pPr>
            <w:r>
              <w:rPr>
                <w:b/>
                <w:color w:val="auto"/>
                <w:kern w:val="0"/>
                <w:sz w:val="24"/>
                <w:szCs w:val="24"/>
              </w:rPr>
              <w:t>表33 环境保护</w:t>
            </w:r>
            <w:r>
              <w:rPr>
                <w:rFonts w:hint="eastAsia"/>
                <w:b/>
                <w:color w:val="auto"/>
                <w:kern w:val="0"/>
                <w:sz w:val="24"/>
                <w:szCs w:val="24"/>
              </w:rPr>
              <w:t>图形</w:t>
            </w:r>
            <w:r>
              <w:rPr>
                <w:b/>
                <w:color w:val="auto"/>
                <w:kern w:val="0"/>
                <w:sz w:val="24"/>
                <w:szCs w:val="24"/>
              </w:rPr>
              <w:t>标志设置图例一览表</w:t>
            </w:r>
          </w:p>
          <w:tbl>
            <w:tblPr>
              <w:tblStyle w:val="26"/>
              <w:tblW w:w="908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2270"/>
              <w:gridCol w:w="2270"/>
              <w:gridCol w:w="22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271" w:type="dxa"/>
                  <w:vAlign w:val="center"/>
                </w:tcPr>
                <w:p>
                  <w:pPr>
                    <w:jc w:val="center"/>
                    <w:rPr>
                      <w:rFonts w:ascii="宋体" w:hAnsi="Calibri"/>
                      <w:b/>
                      <w:color w:val="auto"/>
                    </w:rPr>
                  </w:pPr>
                  <w:bookmarkStart w:id="5" w:name="_Toc476818796"/>
                  <w:bookmarkStart w:id="6" w:name="_Toc477183011"/>
                  <w:bookmarkStart w:id="7" w:name="_Toc477186641"/>
                  <w:bookmarkStart w:id="8" w:name="_Toc476820130"/>
                  <w:r>
                    <w:rPr>
                      <w:rFonts w:ascii="宋体" w:hAnsi="宋体"/>
                      <w:b/>
                      <w:color w:val="auto"/>
                    </w:rPr>
                    <w:t>排放口</w:t>
                  </w:r>
                  <w:bookmarkEnd w:id="5"/>
                  <w:bookmarkEnd w:id="6"/>
                  <w:bookmarkEnd w:id="7"/>
                  <w:bookmarkEnd w:id="8"/>
                </w:p>
              </w:tc>
              <w:tc>
                <w:tcPr>
                  <w:tcW w:w="2270" w:type="dxa"/>
                  <w:vAlign w:val="center"/>
                </w:tcPr>
                <w:p>
                  <w:pPr>
                    <w:jc w:val="center"/>
                    <w:rPr>
                      <w:rFonts w:ascii="宋体" w:hAnsi="Calibri"/>
                      <w:b/>
                      <w:color w:val="auto"/>
                    </w:rPr>
                  </w:pPr>
                  <w:bookmarkStart w:id="9" w:name="_Toc476818797"/>
                  <w:bookmarkStart w:id="10" w:name="_Toc476820131"/>
                  <w:bookmarkStart w:id="11" w:name="_Toc477183012"/>
                  <w:bookmarkStart w:id="12" w:name="_Toc477186642"/>
                  <w:r>
                    <w:rPr>
                      <w:rFonts w:ascii="宋体" w:hAnsi="宋体"/>
                      <w:b/>
                      <w:color w:val="auto"/>
                    </w:rPr>
                    <w:t>废水排放口</w:t>
                  </w:r>
                  <w:bookmarkEnd w:id="9"/>
                  <w:bookmarkEnd w:id="10"/>
                  <w:bookmarkEnd w:id="11"/>
                  <w:bookmarkEnd w:id="12"/>
                </w:p>
              </w:tc>
              <w:tc>
                <w:tcPr>
                  <w:tcW w:w="2270" w:type="dxa"/>
                  <w:vAlign w:val="center"/>
                </w:tcPr>
                <w:p>
                  <w:pPr>
                    <w:jc w:val="center"/>
                    <w:rPr>
                      <w:rFonts w:ascii="宋体" w:hAnsi="Calibri"/>
                      <w:b/>
                      <w:color w:val="auto"/>
                    </w:rPr>
                  </w:pPr>
                  <w:bookmarkStart w:id="13" w:name="_Toc476818798"/>
                  <w:bookmarkStart w:id="14" w:name="_Toc476820132"/>
                  <w:bookmarkStart w:id="15" w:name="_Toc477183013"/>
                  <w:bookmarkStart w:id="16" w:name="_Toc477186643"/>
                  <w:r>
                    <w:rPr>
                      <w:rFonts w:ascii="宋体" w:hAnsi="宋体"/>
                      <w:b/>
                      <w:color w:val="auto"/>
                    </w:rPr>
                    <w:t>废气排口</w:t>
                  </w:r>
                  <w:bookmarkEnd w:id="13"/>
                  <w:bookmarkEnd w:id="14"/>
                  <w:bookmarkEnd w:id="15"/>
                  <w:bookmarkEnd w:id="16"/>
                </w:p>
              </w:tc>
              <w:tc>
                <w:tcPr>
                  <w:tcW w:w="2270" w:type="dxa"/>
                  <w:vAlign w:val="center"/>
                </w:tcPr>
                <w:p>
                  <w:pPr>
                    <w:jc w:val="center"/>
                    <w:rPr>
                      <w:rFonts w:ascii="宋体" w:hAnsi="Calibri"/>
                      <w:b/>
                      <w:color w:val="auto"/>
                    </w:rPr>
                  </w:pPr>
                  <w:bookmarkStart w:id="17" w:name="_Toc476818799"/>
                  <w:bookmarkStart w:id="18" w:name="_Toc476820133"/>
                  <w:bookmarkStart w:id="19" w:name="_Toc477183014"/>
                  <w:bookmarkStart w:id="20" w:name="_Toc477186644"/>
                  <w:r>
                    <w:rPr>
                      <w:rFonts w:ascii="宋体" w:hAnsi="宋体"/>
                      <w:b/>
                      <w:color w:val="auto"/>
                    </w:rPr>
                    <w:t>固废堆场</w:t>
                  </w:r>
                  <w:bookmarkEnd w:id="17"/>
                  <w:bookmarkEnd w:id="18"/>
                  <w:bookmarkEnd w:id="19"/>
                  <w:bookmarkEnd w:id="2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271" w:type="dxa"/>
                  <w:vAlign w:val="center"/>
                </w:tcPr>
                <w:p>
                  <w:pPr>
                    <w:jc w:val="center"/>
                    <w:rPr>
                      <w:rFonts w:ascii="宋体" w:hAnsi="Calibri"/>
                      <w:color w:val="auto"/>
                    </w:rPr>
                  </w:pPr>
                  <w:bookmarkStart w:id="21" w:name="_Toc476818800"/>
                  <w:bookmarkStart w:id="22" w:name="_Toc476820134"/>
                  <w:bookmarkStart w:id="23" w:name="_Toc477183015"/>
                  <w:bookmarkStart w:id="24" w:name="_Toc477186645"/>
                  <w:r>
                    <w:rPr>
                      <w:rFonts w:hint="eastAsia" w:ascii="宋体" w:hAnsi="Calibri"/>
                      <w:color w:val="auto"/>
                    </w:rPr>
                    <w:t>图形符号</w:t>
                  </w:r>
                  <w:bookmarkEnd w:id="21"/>
                  <w:bookmarkEnd w:id="22"/>
                  <w:bookmarkEnd w:id="23"/>
                  <w:bookmarkEnd w:id="24"/>
                </w:p>
              </w:tc>
              <w:tc>
                <w:tcPr>
                  <w:tcW w:w="2270" w:type="dxa"/>
                </w:tcPr>
                <w:p>
                  <w:pPr>
                    <w:jc w:val="center"/>
                    <w:rPr>
                      <w:rFonts w:ascii="宋体" w:hAnsi="Calibri"/>
                      <w:color w:val="auto"/>
                    </w:rPr>
                  </w:pPr>
                  <w:r>
                    <w:rPr>
                      <w:rFonts w:ascii="宋体" w:hAnsi="Calibri"/>
                      <w:color w:val="auto"/>
                    </w:rPr>
                    <w:drawing>
                      <wp:inline distT="0" distB="0" distL="0" distR="0">
                        <wp:extent cx="1164590" cy="1207770"/>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17" cstate="print"/>
                                <a:srcRect t="3883" b="3883"/>
                                <a:stretch>
                                  <a:fillRect/>
                                </a:stretch>
                              </pic:blipFill>
                              <pic:spPr>
                                <a:xfrm>
                                  <a:off x="0" y="0"/>
                                  <a:ext cx="1164590" cy="1207770"/>
                                </a:xfrm>
                                <a:prstGeom prst="rect">
                                  <a:avLst/>
                                </a:prstGeom>
                                <a:noFill/>
                                <a:ln w="9525">
                                  <a:noFill/>
                                  <a:miter lim="800000"/>
                                  <a:headEnd/>
                                  <a:tailEnd/>
                                </a:ln>
                              </pic:spPr>
                            </pic:pic>
                          </a:graphicData>
                        </a:graphic>
                      </wp:inline>
                    </w:drawing>
                  </w:r>
                </w:p>
              </w:tc>
              <w:tc>
                <w:tcPr>
                  <w:tcW w:w="2270" w:type="dxa"/>
                </w:tcPr>
                <w:p>
                  <w:pPr>
                    <w:jc w:val="center"/>
                    <w:rPr>
                      <w:rFonts w:ascii="宋体" w:hAnsi="Calibri"/>
                      <w:color w:val="auto"/>
                    </w:rPr>
                  </w:pPr>
                  <w:r>
                    <w:rPr>
                      <w:rFonts w:ascii="宋体" w:hAnsi="Calibri"/>
                      <w:color w:val="auto"/>
                    </w:rPr>
                    <w:drawing>
                      <wp:inline distT="0" distB="0" distL="0" distR="0">
                        <wp:extent cx="1164590" cy="1207770"/>
                        <wp:effectExtent l="19050" t="0" r="0" b="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noChangeArrowheads="1"/>
                                </pic:cNvPicPr>
                              </pic:nvPicPr>
                              <pic:blipFill>
                                <a:blip r:embed="rId18" cstate="print"/>
                                <a:srcRect/>
                                <a:stretch>
                                  <a:fillRect/>
                                </a:stretch>
                              </pic:blipFill>
                              <pic:spPr>
                                <a:xfrm>
                                  <a:off x="0" y="0"/>
                                  <a:ext cx="1164590" cy="1207770"/>
                                </a:xfrm>
                                <a:prstGeom prst="rect">
                                  <a:avLst/>
                                </a:prstGeom>
                                <a:noFill/>
                                <a:ln w="9525">
                                  <a:noFill/>
                                  <a:miter lim="800000"/>
                                  <a:headEnd/>
                                  <a:tailEnd/>
                                </a:ln>
                              </pic:spPr>
                            </pic:pic>
                          </a:graphicData>
                        </a:graphic>
                      </wp:inline>
                    </w:drawing>
                  </w:r>
                </w:p>
              </w:tc>
              <w:tc>
                <w:tcPr>
                  <w:tcW w:w="2270" w:type="dxa"/>
                </w:tcPr>
                <w:p>
                  <w:pPr>
                    <w:jc w:val="center"/>
                    <w:rPr>
                      <w:rFonts w:ascii="宋体" w:hAnsi="Calibri"/>
                      <w:color w:val="auto"/>
                    </w:rPr>
                  </w:pPr>
                  <w:r>
                    <w:rPr>
                      <w:rFonts w:ascii="宋体" w:hAnsi="Calibri"/>
                      <w:color w:val="auto"/>
                    </w:rPr>
                    <w:drawing>
                      <wp:inline distT="0" distB="0" distL="0" distR="0">
                        <wp:extent cx="1095375" cy="1207770"/>
                        <wp:effectExtent l="19050" t="0" r="9525" b="0"/>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noChangeArrowheads="1"/>
                                </pic:cNvPicPr>
                              </pic:nvPicPr>
                              <pic:blipFill>
                                <a:blip r:embed="rId19" cstate="print"/>
                                <a:srcRect/>
                                <a:stretch>
                                  <a:fillRect/>
                                </a:stretch>
                              </pic:blipFill>
                              <pic:spPr>
                                <a:xfrm>
                                  <a:off x="0" y="0"/>
                                  <a:ext cx="1095375" cy="1207770"/>
                                </a:xfrm>
                                <a:prstGeom prst="rect">
                                  <a:avLst/>
                                </a:prstGeom>
                                <a:noFill/>
                                <a:ln w="9525">
                                  <a:noFill/>
                                  <a:miter lim="800000"/>
                                  <a:headEnd/>
                                  <a:tailEnd/>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271" w:type="dxa"/>
                  <w:vAlign w:val="center"/>
                </w:tcPr>
                <w:p>
                  <w:pPr>
                    <w:jc w:val="center"/>
                    <w:rPr>
                      <w:rFonts w:ascii="宋体" w:hAnsi="Calibri"/>
                      <w:color w:val="auto"/>
                    </w:rPr>
                  </w:pPr>
                  <w:bookmarkStart w:id="25" w:name="_Toc476818801"/>
                  <w:bookmarkStart w:id="26" w:name="_Toc476820135"/>
                  <w:bookmarkStart w:id="27" w:name="_Toc477183016"/>
                  <w:bookmarkStart w:id="28" w:name="_Toc477186646"/>
                  <w:r>
                    <w:rPr>
                      <w:rFonts w:hint="eastAsia" w:ascii="宋体" w:hAnsi="Calibri"/>
                      <w:color w:val="auto"/>
                    </w:rPr>
                    <w:t>背景颜色</w:t>
                  </w:r>
                  <w:bookmarkEnd w:id="25"/>
                  <w:bookmarkEnd w:id="26"/>
                  <w:bookmarkEnd w:id="27"/>
                  <w:bookmarkEnd w:id="28"/>
                </w:p>
              </w:tc>
              <w:tc>
                <w:tcPr>
                  <w:tcW w:w="6810" w:type="dxa"/>
                  <w:gridSpan w:val="3"/>
                  <w:vAlign w:val="center"/>
                </w:tcPr>
                <w:p>
                  <w:pPr>
                    <w:jc w:val="center"/>
                    <w:rPr>
                      <w:rFonts w:ascii="宋体" w:hAnsi="Calibri"/>
                      <w:color w:val="auto"/>
                    </w:rPr>
                  </w:pPr>
                  <w:bookmarkStart w:id="29" w:name="_Toc476818802"/>
                  <w:bookmarkStart w:id="30" w:name="_Toc476820136"/>
                  <w:bookmarkStart w:id="31" w:name="_Toc477183017"/>
                  <w:bookmarkStart w:id="32" w:name="_Toc477186647"/>
                  <w:r>
                    <w:rPr>
                      <w:rFonts w:hint="eastAsia" w:ascii="宋体" w:hAnsi="Calibri"/>
                      <w:color w:val="auto"/>
                    </w:rPr>
                    <w:t>绿色</w:t>
                  </w:r>
                  <w:bookmarkEnd w:id="29"/>
                  <w:bookmarkEnd w:id="30"/>
                  <w:bookmarkEnd w:id="31"/>
                  <w:bookmarkEnd w:id="3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271" w:type="dxa"/>
                  <w:vAlign w:val="center"/>
                </w:tcPr>
                <w:p>
                  <w:pPr>
                    <w:jc w:val="center"/>
                    <w:rPr>
                      <w:rFonts w:ascii="宋体" w:hAnsi="Calibri"/>
                      <w:color w:val="auto"/>
                    </w:rPr>
                  </w:pPr>
                  <w:bookmarkStart w:id="33" w:name="_Toc476818803"/>
                  <w:bookmarkStart w:id="34" w:name="_Toc476820137"/>
                  <w:bookmarkStart w:id="35" w:name="_Toc477183018"/>
                  <w:bookmarkStart w:id="36" w:name="_Toc477186648"/>
                  <w:r>
                    <w:rPr>
                      <w:rFonts w:hint="eastAsia" w:ascii="宋体" w:hAnsi="Calibri"/>
                      <w:color w:val="auto"/>
                    </w:rPr>
                    <w:t>图形颜色</w:t>
                  </w:r>
                  <w:bookmarkEnd w:id="33"/>
                  <w:bookmarkEnd w:id="34"/>
                  <w:bookmarkEnd w:id="35"/>
                  <w:bookmarkEnd w:id="36"/>
                </w:p>
              </w:tc>
              <w:tc>
                <w:tcPr>
                  <w:tcW w:w="6810" w:type="dxa"/>
                  <w:gridSpan w:val="3"/>
                  <w:vAlign w:val="center"/>
                </w:tcPr>
                <w:p>
                  <w:pPr>
                    <w:jc w:val="center"/>
                    <w:rPr>
                      <w:rFonts w:ascii="宋体" w:hAnsi="Calibri"/>
                      <w:color w:val="auto"/>
                    </w:rPr>
                  </w:pPr>
                  <w:bookmarkStart w:id="37" w:name="_Toc476818804"/>
                  <w:bookmarkStart w:id="38" w:name="_Toc476820138"/>
                  <w:bookmarkStart w:id="39" w:name="_Toc477183019"/>
                  <w:bookmarkStart w:id="40" w:name="_Toc477186649"/>
                  <w:r>
                    <w:rPr>
                      <w:rFonts w:hint="eastAsia" w:ascii="宋体" w:hAnsi="Calibri"/>
                      <w:color w:val="auto"/>
                    </w:rPr>
                    <w:t>白色</w:t>
                  </w:r>
                  <w:bookmarkEnd w:id="37"/>
                  <w:bookmarkEnd w:id="38"/>
                  <w:bookmarkEnd w:id="39"/>
                  <w:bookmarkEnd w:id="40"/>
                </w:p>
              </w:tc>
            </w:tr>
          </w:tbl>
          <w:p>
            <w:pPr>
              <w:spacing w:before="156" w:beforeLines="50" w:line="360" w:lineRule="auto"/>
              <w:ind w:firstLine="482" w:firstLineChars="200"/>
              <w:rPr>
                <w:b/>
                <w:bCs/>
                <w:color w:val="auto"/>
                <w:sz w:val="24"/>
                <w:szCs w:val="24"/>
              </w:rPr>
            </w:pPr>
            <w:r>
              <w:rPr>
                <w:rFonts w:hint="eastAsia"/>
                <w:b/>
                <w:bCs/>
                <w:color w:val="auto"/>
                <w:sz w:val="24"/>
                <w:szCs w:val="24"/>
              </w:rPr>
              <w:t>四、环境信息公开</w:t>
            </w:r>
          </w:p>
          <w:p>
            <w:pPr>
              <w:spacing w:line="360" w:lineRule="auto"/>
              <w:ind w:firstLine="480" w:firstLineChars="200"/>
              <w:rPr>
                <w:color w:val="auto"/>
                <w:sz w:val="24"/>
                <w:szCs w:val="24"/>
              </w:rPr>
            </w:pPr>
            <w:r>
              <w:rPr>
                <w:rFonts w:hint="eastAsia"/>
                <w:color w:val="auto"/>
                <w:sz w:val="24"/>
                <w:szCs w:val="24"/>
              </w:rPr>
              <w:t>根据《</w:t>
            </w:r>
            <w:r>
              <w:rPr>
                <w:rFonts w:hint="eastAsia"/>
                <w:bCs/>
                <w:color w:val="auto"/>
                <w:sz w:val="24"/>
                <w:szCs w:val="24"/>
              </w:rPr>
              <w:t>企业事业单位环境信息公开办法</w:t>
            </w:r>
            <w:r>
              <w:rPr>
                <w:rFonts w:hint="eastAsia"/>
                <w:color w:val="auto"/>
                <w:sz w:val="24"/>
                <w:szCs w:val="24"/>
              </w:rPr>
              <w:t>》（环境保护部令第31号）相关规定，建设单位应通过</w:t>
            </w:r>
            <w:r>
              <w:rPr>
                <w:color w:val="auto"/>
                <w:sz w:val="24"/>
                <w:szCs w:val="24"/>
              </w:rPr>
              <w:t>网站、企业事业单位环境信息公开平台或者当地报刊等便于公众知晓的方式公开环境信息</w:t>
            </w:r>
            <w:r>
              <w:rPr>
                <w:rFonts w:hint="eastAsia"/>
                <w:color w:val="auto"/>
                <w:sz w:val="24"/>
                <w:szCs w:val="24"/>
              </w:rPr>
              <w:t>，主动接受社会监督。</w:t>
            </w:r>
          </w:p>
          <w:p>
            <w:pPr>
              <w:spacing w:line="360" w:lineRule="auto"/>
              <w:ind w:firstLine="480" w:firstLineChars="200"/>
              <w:rPr>
                <w:color w:val="auto"/>
                <w:sz w:val="24"/>
                <w:szCs w:val="24"/>
              </w:rPr>
            </w:pPr>
            <w:r>
              <w:rPr>
                <w:color w:val="auto"/>
                <w:sz w:val="24"/>
                <w:szCs w:val="24"/>
              </w:rPr>
              <w:fldChar w:fldCharType="begin"/>
            </w:r>
            <w:r>
              <w:rPr>
                <w:rFonts w:hint="eastAsia"/>
                <w:color w:val="auto"/>
                <w:sz w:val="24"/>
                <w:szCs w:val="24"/>
              </w:rPr>
              <w:instrText xml:space="preserve">= 1 \* GB2</w:instrText>
            </w:r>
            <w:r>
              <w:rPr>
                <w:color w:val="auto"/>
                <w:sz w:val="24"/>
                <w:szCs w:val="24"/>
              </w:rPr>
              <w:fldChar w:fldCharType="separate"/>
            </w:r>
            <w:r>
              <w:rPr>
                <w:rFonts w:hint="eastAsia"/>
                <w:color w:val="auto"/>
                <w:sz w:val="24"/>
                <w:szCs w:val="24"/>
              </w:rPr>
              <w:t>⑴</w:t>
            </w:r>
            <w:r>
              <w:rPr>
                <w:color w:val="auto"/>
                <w:sz w:val="24"/>
                <w:szCs w:val="24"/>
              </w:rPr>
              <w:fldChar w:fldCharType="end"/>
            </w:r>
            <w:r>
              <w:rPr>
                <w:rFonts w:hint="eastAsia"/>
                <w:color w:val="auto"/>
                <w:sz w:val="24"/>
                <w:szCs w:val="24"/>
              </w:rPr>
              <w:t>基础信息</w:t>
            </w:r>
          </w:p>
          <w:p>
            <w:pPr>
              <w:spacing w:line="360" w:lineRule="auto"/>
              <w:ind w:firstLine="480" w:firstLineChars="200"/>
              <w:rPr>
                <w:color w:val="auto"/>
                <w:sz w:val="24"/>
                <w:szCs w:val="24"/>
              </w:rPr>
            </w:pPr>
            <w:r>
              <w:rPr>
                <w:rFonts w:hint="eastAsia"/>
                <w:color w:val="auto"/>
                <w:sz w:val="24"/>
                <w:szCs w:val="24"/>
              </w:rPr>
              <w:t>包括企业名称、</w:t>
            </w:r>
            <w:r>
              <w:rPr>
                <w:color w:val="auto"/>
                <w:sz w:val="24"/>
                <w:szCs w:val="24"/>
              </w:rPr>
              <w:t>组织机构代码、法定代表人、地址、联系方式，以及生产经营和管理服务的主要内容及规模；</w:t>
            </w:r>
          </w:p>
          <w:p>
            <w:pPr>
              <w:spacing w:line="360" w:lineRule="auto"/>
              <w:ind w:firstLine="480" w:firstLineChars="200"/>
              <w:rPr>
                <w:color w:val="auto"/>
                <w:sz w:val="24"/>
                <w:szCs w:val="24"/>
              </w:rPr>
            </w:pPr>
            <w:r>
              <w:rPr>
                <w:color w:val="auto"/>
                <w:sz w:val="24"/>
                <w:szCs w:val="24"/>
              </w:rPr>
              <w:fldChar w:fldCharType="begin"/>
            </w:r>
            <w:r>
              <w:rPr>
                <w:rFonts w:hint="eastAsia"/>
                <w:color w:val="auto"/>
                <w:sz w:val="24"/>
                <w:szCs w:val="24"/>
              </w:rPr>
              <w:instrText xml:space="preserve">= 2 \* GB2</w:instrText>
            </w:r>
            <w:r>
              <w:rPr>
                <w:color w:val="auto"/>
                <w:sz w:val="24"/>
                <w:szCs w:val="24"/>
              </w:rPr>
              <w:fldChar w:fldCharType="separate"/>
            </w:r>
            <w:r>
              <w:rPr>
                <w:rFonts w:hint="eastAsia"/>
                <w:color w:val="auto"/>
                <w:sz w:val="24"/>
                <w:szCs w:val="24"/>
              </w:rPr>
              <w:t>⑵</w:t>
            </w:r>
            <w:r>
              <w:rPr>
                <w:color w:val="auto"/>
                <w:sz w:val="24"/>
                <w:szCs w:val="24"/>
              </w:rPr>
              <w:fldChar w:fldCharType="end"/>
            </w:r>
            <w:r>
              <w:rPr>
                <w:rFonts w:hint="eastAsia"/>
                <w:color w:val="auto"/>
                <w:sz w:val="24"/>
                <w:szCs w:val="24"/>
              </w:rPr>
              <w:t>排污信息</w:t>
            </w:r>
          </w:p>
          <w:p>
            <w:pPr>
              <w:spacing w:line="360" w:lineRule="auto"/>
              <w:ind w:firstLine="480" w:firstLineChars="200"/>
              <w:rPr>
                <w:color w:val="auto"/>
                <w:sz w:val="24"/>
                <w:szCs w:val="24"/>
              </w:rPr>
            </w:pPr>
            <w:r>
              <w:rPr>
                <w:color w:val="auto"/>
                <w:sz w:val="24"/>
                <w:szCs w:val="24"/>
              </w:rPr>
              <w:t>包括主要污染物及特征污染物的名称、排放方式、排放口数量和分布情况、排放浓度和总量、超标情况，以及执行的污染物排放标准、核定的排放总量；</w:t>
            </w:r>
          </w:p>
          <w:p>
            <w:pPr>
              <w:spacing w:line="360" w:lineRule="auto"/>
              <w:ind w:firstLine="480" w:firstLineChars="200"/>
              <w:rPr>
                <w:color w:val="auto"/>
                <w:sz w:val="24"/>
                <w:szCs w:val="24"/>
              </w:rPr>
            </w:pPr>
            <w:r>
              <w:rPr>
                <w:color w:val="auto"/>
                <w:sz w:val="24"/>
                <w:szCs w:val="24"/>
              </w:rPr>
              <w:fldChar w:fldCharType="begin"/>
            </w:r>
            <w:r>
              <w:rPr>
                <w:rFonts w:hint="eastAsia"/>
                <w:color w:val="auto"/>
                <w:sz w:val="24"/>
                <w:szCs w:val="24"/>
              </w:rPr>
              <w:instrText xml:space="preserve">= 3 \* GB2</w:instrText>
            </w:r>
            <w:r>
              <w:rPr>
                <w:color w:val="auto"/>
                <w:sz w:val="24"/>
                <w:szCs w:val="24"/>
              </w:rPr>
              <w:fldChar w:fldCharType="separate"/>
            </w:r>
            <w:r>
              <w:rPr>
                <w:rFonts w:hint="eastAsia"/>
                <w:color w:val="auto"/>
                <w:sz w:val="24"/>
                <w:szCs w:val="24"/>
              </w:rPr>
              <w:t>⑶</w:t>
            </w:r>
            <w:r>
              <w:rPr>
                <w:color w:val="auto"/>
                <w:sz w:val="24"/>
                <w:szCs w:val="24"/>
              </w:rPr>
              <w:fldChar w:fldCharType="end"/>
            </w:r>
            <w:r>
              <w:rPr>
                <w:rFonts w:hint="eastAsia"/>
                <w:color w:val="auto"/>
                <w:sz w:val="24"/>
                <w:szCs w:val="24"/>
              </w:rPr>
              <w:t>防治污染设施的建设和运营情况；</w:t>
            </w:r>
          </w:p>
          <w:p>
            <w:pPr>
              <w:spacing w:line="360" w:lineRule="auto"/>
              <w:ind w:firstLine="480" w:firstLineChars="200"/>
              <w:rPr>
                <w:color w:val="auto"/>
                <w:sz w:val="24"/>
                <w:szCs w:val="24"/>
              </w:rPr>
            </w:pPr>
            <w:r>
              <w:rPr>
                <w:color w:val="auto"/>
                <w:sz w:val="24"/>
                <w:szCs w:val="24"/>
              </w:rPr>
              <w:fldChar w:fldCharType="begin"/>
            </w:r>
            <w:r>
              <w:rPr>
                <w:rFonts w:hint="eastAsia"/>
                <w:color w:val="auto"/>
                <w:sz w:val="24"/>
                <w:szCs w:val="24"/>
              </w:rPr>
              <w:instrText xml:space="preserve">= 4 \* GB2</w:instrText>
            </w:r>
            <w:r>
              <w:rPr>
                <w:color w:val="auto"/>
                <w:sz w:val="24"/>
                <w:szCs w:val="24"/>
              </w:rPr>
              <w:fldChar w:fldCharType="separate"/>
            </w:r>
            <w:r>
              <w:rPr>
                <w:rFonts w:hint="eastAsia"/>
                <w:color w:val="auto"/>
                <w:sz w:val="24"/>
                <w:szCs w:val="24"/>
              </w:rPr>
              <w:t>⑷</w:t>
            </w:r>
            <w:r>
              <w:rPr>
                <w:color w:val="auto"/>
                <w:sz w:val="24"/>
                <w:szCs w:val="24"/>
              </w:rPr>
              <w:fldChar w:fldCharType="end"/>
            </w:r>
            <w:r>
              <w:rPr>
                <w:rFonts w:hint="eastAsia"/>
                <w:color w:val="auto"/>
                <w:sz w:val="24"/>
                <w:szCs w:val="24"/>
              </w:rPr>
              <w:t>自行监测情况；</w:t>
            </w:r>
          </w:p>
          <w:p>
            <w:pPr>
              <w:spacing w:line="360" w:lineRule="auto"/>
              <w:ind w:firstLine="480" w:firstLineChars="200"/>
              <w:rPr>
                <w:color w:val="auto"/>
                <w:sz w:val="24"/>
                <w:szCs w:val="24"/>
              </w:rPr>
            </w:pPr>
            <w:r>
              <w:rPr>
                <w:color w:val="auto"/>
                <w:sz w:val="24"/>
                <w:szCs w:val="24"/>
              </w:rPr>
              <w:fldChar w:fldCharType="begin"/>
            </w:r>
            <w:r>
              <w:rPr>
                <w:rFonts w:hint="eastAsia"/>
                <w:color w:val="auto"/>
                <w:sz w:val="24"/>
                <w:szCs w:val="24"/>
              </w:rPr>
              <w:instrText xml:space="preserve">= 5 \* GB2</w:instrText>
            </w:r>
            <w:r>
              <w:rPr>
                <w:color w:val="auto"/>
                <w:sz w:val="24"/>
                <w:szCs w:val="24"/>
              </w:rPr>
              <w:fldChar w:fldCharType="separate"/>
            </w:r>
            <w:r>
              <w:rPr>
                <w:rFonts w:hint="eastAsia"/>
                <w:color w:val="auto"/>
                <w:sz w:val="24"/>
                <w:szCs w:val="24"/>
              </w:rPr>
              <w:t>⑸</w:t>
            </w:r>
            <w:r>
              <w:rPr>
                <w:color w:val="auto"/>
                <w:sz w:val="24"/>
                <w:szCs w:val="24"/>
              </w:rPr>
              <w:fldChar w:fldCharType="end"/>
            </w:r>
            <w:r>
              <w:rPr>
                <w:color w:val="auto"/>
                <w:sz w:val="24"/>
                <w:szCs w:val="24"/>
              </w:rPr>
              <w:t>建设项目环境影响评价及其他环境保护行政许可情况</w:t>
            </w:r>
            <w:r>
              <w:rPr>
                <w:rFonts w:hint="eastAsia"/>
                <w:color w:val="auto"/>
                <w:sz w:val="24"/>
                <w:szCs w:val="24"/>
              </w:rPr>
              <w:t>。</w:t>
            </w:r>
          </w:p>
          <w:p>
            <w:pPr>
              <w:spacing w:before="156" w:beforeLines="50" w:line="360" w:lineRule="auto"/>
              <w:ind w:firstLine="482" w:firstLineChars="200"/>
              <w:rPr>
                <w:b/>
                <w:bCs/>
                <w:color w:val="auto"/>
                <w:sz w:val="24"/>
                <w:szCs w:val="24"/>
              </w:rPr>
            </w:pPr>
            <w:r>
              <w:rPr>
                <w:rFonts w:hint="eastAsia"/>
                <w:b/>
                <w:bCs/>
                <w:color w:val="auto"/>
                <w:sz w:val="24"/>
                <w:szCs w:val="24"/>
              </w:rPr>
              <w:t>五</w:t>
            </w:r>
            <w:r>
              <w:rPr>
                <w:b/>
                <w:bCs/>
                <w:color w:val="auto"/>
                <w:sz w:val="24"/>
                <w:szCs w:val="24"/>
              </w:rPr>
              <w:t>、环保投资估算</w:t>
            </w:r>
          </w:p>
          <w:p>
            <w:pPr>
              <w:spacing w:line="360" w:lineRule="auto"/>
              <w:ind w:firstLine="540" w:firstLineChars="225"/>
              <w:rPr>
                <w:b/>
                <w:bCs/>
                <w:color w:val="auto"/>
                <w:sz w:val="24"/>
                <w:szCs w:val="24"/>
              </w:rPr>
            </w:pPr>
            <w:r>
              <w:rPr>
                <w:color w:val="auto"/>
                <w:sz w:val="24"/>
                <w:szCs w:val="24"/>
              </w:rPr>
              <w:t>本项目为环保项目，总投资全部视为环保投资，共3</w:t>
            </w:r>
            <w:r>
              <w:rPr>
                <w:rFonts w:hint="eastAsia"/>
                <w:color w:val="auto"/>
                <w:sz w:val="24"/>
                <w:szCs w:val="24"/>
              </w:rPr>
              <w:t>000</w:t>
            </w:r>
            <w:r>
              <w:rPr>
                <w:color w:val="auto"/>
                <w:sz w:val="24"/>
                <w:szCs w:val="24"/>
              </w:rPr>
              <w:t>万元，占总投资比例的100%。</w:t>
            </w:r>
          </w:p>
          <w:p>
            <w:pPr>
              <w:autoSpaceDE w:val="0"/>
              <w:autoSpaceDN w:val="0"/>
              <w:adjustRightInd w:val="0"/>
              <w:spacing w:line="360" w:lineRule="auto"/>
              <w:ind w:firstLine="482" w:firstLineChars="200"/>
              <w:jc w:val="left"/>
              <w:rPr>
                <w:rFonts w:eastAsiaTheme="minorEastAsia"/>
                <w:b/>
                <w:color w:val="auto"/>
                <w:kern w:val="0"/>
                <w:sz w:val="24"/>
                <w:szCs w:val="24"/>
              </w:rPr>
            </w:pPr>
            <w:bookmarkStart w:id="41" w:name="_Toc477186639"/>
            <w:r>
              <w:rPr>
                <w:rFonts w:hint="eastAsia" w:hAnsiTheme="minorEastAsia" w:eastAsiaTheme="minorEastAsia"/>
                <w:b/>
                <w:color w:val="auto"/>
                <w:kern w:val="0"/>
                <w:sz w:val="24"/>
                <w:szCs w:val="24"/>
              </w:rPr>
              <w:t>六</w:t>
            </w:r>
            <w:r>
              <w:rPr>
                <w:rFonts w:hAnsiTheme="minorEastAsia" w:eastAsiaTheme="minorEastAsia"/>
                <w:b/>
                <w:color w:val="auto"/>
                <w:kern w:val="0"/>
                <w:sz w:val="24"/>
                <w:szCs w:val="24"/>
              </w:rPr>
              <w:t>、污染物排放清单</w:t>
            </w:r>
            <w:bookmarkEnd w:id="41"/>
          </w:p>
          <w:p>
            <w:pPr>
              <w:spacing w:line="360" w:lineRule="auto"/>
              <w:ind w:firstLine="480" w:firstLineChars="200"/>
              <w:rPr>
                <w:rFonts w:hAnsi="Calibri"/>
                <w:color w:val="auto"/>
                <w:sz w:val="24"/>
                <w:szCs w:val="24"/>
              </w:rPr>
            </w:pPr>
            <w:r>
              <w:rPr>
                <w:rFonts w:hint="eastAsia" w:hAnsi="Calibri"/>
                <w:color w:val="auto"/>
                <w:sz w:val="24"/>
                <w:szCs w:val="24"/>
              </w:rPr>
              <w:t>拟建项目运营期污染物排放清单见表</w:t>
            </w:r>
            <w:r>
              <w:rPr>
                <w:rFonts w:hAnsi="Calibri"/>
                <w:color w:val="auto"/>
                <w:sz w:val="24"/>
                <w:szCs w:val="24"/>
              </w:rPr>
              <w:t>34</w:t>
            </w:r>
            <w:r>
              <w:rPr>
                <w:rFonts w:hint="eastAsia" w:hAnsi="Calibri"/>
                <w:color w:val="auto"/>
                <w:sz w:val="24"/>
                <w:szCs w:val="24"/>
              </w:rPr>
              <w:t>。</w:t>
            </w:r>
          </w:p>
          <w:p>
            <w:pPr>
              <w:autoSpaceDE w:val="0"/>
              <w:autoSpaceDN w:val="0"/>
              <w:adjustRightInd w:val="0"/>
              <w:jc w:val="center"/>
              <w:outlineLvl w:val="5"/>
              <w:rPr>
                <w:b/>
                <w:color w:val="auto"/>
                <w:kern w:val="0"/>
                <w:sz w:val="24"/>
                <w:szCs w:val="24"/>
              </w:rPr>
            </w:pPr>
            <w:r>
              <w:rPr>
                <w:b/>
                <w:color w:val="auto"/>
                <w:kern w:val="0"/>
                <w:sz w:val="24"/>
                <w:szCs w:val="24"/>
              </w:rPr>
              <w:t>表34   项目运营期污染物排放清单一览表</w:t>
            </w:r>
          </w:p>
          <w:tbl>
            <w:tblPr>
              <w:tblStyle w:val="26"/>
              <w:tblW w:w="91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
              <w:gridCol w:w="945"/>
              <w:gridCol w:w="996"/>
              <w:gridCol w:w="1536"/>
              <w:gridCol w:w="1576"/>
              <w:gridCol w:w="1221"/>
              <w:gridCol w:w="2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gridSpan w:val="2"/>
                  <w:tcMar>
                    <w:left w:w="11" w:type="dxa"/>
                    <w:right w:w="11" w:type="dxa"/>
                  </w:tcMar>
                  <w:vAlign w:val="center"/>
                </w:tcPr>
                <w:p>
                  <w:pPr>
                    <w:jc w:val="center"/>
                    <w:rPr>
                      <w:b/>
                      <w:color w:val="auto"/>
                    </w:rPr>
                  </w:pPr>
                  <w:r>
                    <w:rPr>
                      <w:b/>
                      <w:color w:val="auto"/>
                    </w:rPr>
                    <w:t>污染物种类</w:t>
                  </w:r>
                </w:p>
              </w:tc>
              <w:tc>
                <w:tcPr>
                  <w:tcW w:w="2532" w:type="dxa"/>
                  <w:gridSpan w:val="2"/>
                </w:tcPr>
                <w:p>
                  <w:pPr>
                    <w:jc w:val="center"/>
                    <w:rPr>
                      <w:b/>
                      <w:color w:val="auto"/>
                    </w:rPr>
                  </w:pPr>
                  <w:r>
                    <w:rPr>
                      <w:b/>
                      <w:color w:val="auto"/>
                    </w:rPr>
                    <w:t>产生量</w:t>
                  </w:r>
                </w:p>
              </w:tc>
              <w:tc>
                <w:tcPr>
                  <w:tcW w:w="1576" w:type="dxa"/>
                  <w:vAlign w:val="center"/>
                </w:tcPr>
                <w:p>
                  <w:pPr>
                    <w:jc w:val="center"/>
                    <w:rPr>
                      <w:b/>
                      <w:color w:val="auto"/>
                    </w:rPr>
                  </w:pPr>
                  <w:r>
                    <w:rPr>
                      <w:b/>
                      <w:color w:val="auto"/>
                    </w:rPr>
                    <w:t>环境保护措施</w:t>
                  </w:r>
                </w:p>
              </w:tc>
              <w:tc>
                <w:tcPr>
                  <w:tcW w:w="1221" w:type="dxa"/>
                  <w:vAlign w:val="center"/>
                </w:tcPr>
                <w:p>
                  <w:pPr>
                    <w:jc w:val="center"/>
                    <w:rPr>
                      <w:b/>
                      <w:color w:val="auto"/>
                    </w:rPr>
                  </w:pPr>
                  <w:r>
                    <w:rPr>
                      <w:b/>
                      <w:color w:val="auto"/>
                    </w:rPr>
                    <w:t>排放量</w:t>
                  </w:r>
                </w:p>
              </w:tc>
              <w:tc>
                <w:tcPr>
                  <w:tcW w:w="2592" w:type="dxa"/>
                  <w:vAlign w:val="center"/>
                </w:tcPr>
                <w:p>
                  <w:pPr>
                    <w:jc w:val="center"/>
                    <w:rPr>
                      <w:b/>
                      <w:color w:val="auto"/>
                    </w:rPr>
                  </w:pPr>
                  <w:r>
                    <w:rPr>
                      <w:b/>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restart"/>
                  <w:tcMar>
                    <w:left w:w="11" w:type="dxa"/>
                    <w:right w:w="11" w:type="dxa"/>
                  </w:tcMar>
                  <w:vAlign w:val="center"/>
                </w:tcPr>
                <w:p>
                  <w:pPr>
                    <w:jc w:val="center"/>
                    <w:rPr>
                      <w:color w:val="auto"/>
                    </w:rPr>
                  </w:pPr>
                  <w:r>
                    <w:rPr>
                      <w:rFonts w:hint="eastAsia"/>
                      <w:color w:val="auto"/>
                    </w:rPr>
                    <w:t>废气</w:t>
                  </w:r>
                </w:p>
              </w:tc>
              <w:tc>
                <w:tcPr>
                  <w:tcW w:w="945" w:type="dxa"/>
                  <w:vMerge w:val="restart"/>
                  <w:vAlign w:val="center"/>
                </w:tcPr>
                <w:p>
                  <w:pPr>
                    <w:jc w:val="center"/>
                    <w:rPr>
                      <w:color w:val="auto"/>
                    </w:rPr>
                  </w:pPr>
                  <w:r>
                    <w:rPr>
                      <w:rFonts w:hint="eastAsia"/>
                      <w:color w:val="auto"/>
                    </w:rPr>
                    <w:t>1#烟囱</w:t>
                  </w:r>
                </w:p>
              </w:tc>
              <w:tc>
                <w:tcPr>
                  <w:tcW w:w="996" w:type="dxa"/>
                  <w:vAlign w:val="center"/>
                </w:tcPr>
                <w:p>
                  <w:pPr>
                    <w:jc w:val="center"/>
                    <w:rPr>
                      <w:color w:val="auto"/>
                    </w:rPr>
                  </w:pPr>
                  <w:r>
                    <w:rPr>
                      <w:rFonts w:hint="eastAsia"/>
                      <w:color w:val="auto"/>
                    </w:rPr>
                    <w:t>废气</w:t>
                  </w:r>
                  <w:r>
                    <w:rPr>
                      <w:color w:val="auto"/>
                    </w:rPr>
                    <w:t>量</w:t>
                  </w:r>
                </w:p>
              </w:tc>
              <w:tc>
                <w:tcPr>
                  <w:tcW w:w="1536" w:type="dxa"/>
                  <w:vAlign w:val="center"/>
                </w:tcPr>
                <w:p>
                  <w:pPr>
                    <w:jc w:val="center"/>
                    <w:rPr>
                      <w:color w:val="auto"/>
                    </w:rPr>
                  </w:pPr>
                  <w:r>
                    <w:rPr>
                      <w:rFonts w:hint="eastAsia"/>
                      <w:color w:val="auto"/>
                    </w:rPr>
                    <w:t>246464.064万Nm</w:t>
                  </w:r>
                  <w:r>
                    <w:rPr>
                      <w:rFonts w:hint="eastAsia"/>
                      <w:color w:val="auto"/>
                      <w:vertAlign w:val="superscript"/>
                    </w:rPr>
                    <w:t>3</w:t>
                  </w:r>
                </w:p>
              </w:tc>
              <w:tc>
                <w:tcPr>
                  <w:tcW w:w="1576" w:type="dxa"/>
                  <w:vMerge w:val="restart"/>
                  <w:vAlign w:val="center"/>
                </w:tcPr>
                <w:p>
                  <w:pPr>
                    <w:jc w:val="left"/>
                    <w:rPr>
                      <w:color w:val="auto"/>
                    </w:rPr>
                  </w:pPr>
                  <w:r>
                    <w:rPr>
                      <w:rFonts w:hint="eastAsia"/>
                      <w:color w:val="auto"/>
                    </w:rPr>
                    <w:t>低氮燃烧+氨法脱硫+袋式除尘器+</w:t>
                  </w:r>
                  <w:r>
                    <w:rPr>
                      <w:color w:val="auto"/>
                    </w:rPr>
                    <w:t>80</w:t>
                  </w:r>
                  <w:r>
                    <w:rPr>
                      <w:rFonts w:hint="eastAsia"/>
                      <w:color w:val="auto"/>
                    </w:rPr>
                    <w:t>m高烟囱排放</w:t>
                  </w:r>
                </w:p>
              </w:tc>
              <w:tc>
                <w:tcPr>
                  <w:tcW w:w="1221" w:type="dxa"/>
                  <w:vAlign w:val="center"/>
                </w:tcPr>
                <w:p>
                  <w:pPr>
                    <w:jc w:val="center"/>
                    <w:rPr>
                      <w:color w:val="auto"/>
                    </w:rPr>
                  </w:pPr>
                  <w:r>
                    <w:rPr>
                      <w:rFonts w:hint="eastAsia"/>
                      <w:color w:val="auto"/>
                    </w:rPr>
                    <w:t>246464.064万Nm</w:t>
                  </w:r>
                  <w:r>
                    <w:rPr>
                      <w:rFonts w:hint="eastAsia"/>
                      <w:color w:val="auto"/>
                      <w:vertAlign w:val="superscript"/>
                    </w:rPr>
                    <w:t>3</w:t>
                  </w:r>
                </w:p>
              </w:tc>
              <w:tc>
                <w:tcPr>
                  <w:tcW w:w="2592" w:type="dxa"/>
                  <w:vMerge w:val="restart"/>
                  <w:vAlign w:val="center"/>
                </w:tcPr>
                <w:p>
                  <w:pPr>
                    <w:jc w:val="center"/>
                    <w:rPr>
                      <w:color w:val="auto"/>
                    </w:rPr>
                  </w:pPr>
                  <w:r>
                    <w:rPr>
                      <w:rFonts w:hint="eastAsia"/>
                      <w:color w:val="auto"/>
                    </w:rPr>
                    <w:t>《关中地区重点行业大气污染物排放限值》（DB61/941-2014）标准限值、《氨法烟气脱硫工程通用技术规范》（H</w:t>
                  </w:r>
                  <w:r>
                    <w:rPr>
                      <w:color w:val="auto"/>
                    </w:rPr>
                    <w:t>J2001-2018</w:t>
                  </w:r>
                  <w:r>
                    <w:rPr>
                      <w:rFonts w:hint="eastAsia"/>
                      <w:color w:val="auto"/>
                    </w:rPr>
                    <w:t>）相关规定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continue"/>
                  <w:tcMar>
                    <w:left w:w="11" w:type="dxa"/>
                    <w:right w:w="11" w:type="dxa"/>
                  </w:tcMar>
                  <w:vAlign w:val="center"/>
                </w:tcPr>
                <w:p>
                  <w:pPr>
                    <w:jc w:val="center"/>
                    <w:rPr>
                      <w:color w:val="auto"/>
                    </w:rPr>
                  </w:pPr>
                </w:p>
              </w:tc>
              <w:tc>
                <w:tcPr>
                  <w:tcW w:w="945" w:type="dxa"/>
                  <w:vMerge w:val="continue"/>
                  <w:vAlign w:val="center"/>
                </w:tcPr>
                <w:p>
                  <w:pPr>
                    <w:jc w:val="center"/>
                    <w:rPr>
                      <w:color w:val="auto"/>
                    </w:rPr>
                  </w:pPr>
                </w:p>
              </w:tc>
              <w:tc>
                <w:tcPr>
                  <w:tcW w:w="996" w:type="dxa"/>
                  <w:vAlign w:val="center"/>
                </w:tcPr>
                <w:p>
                  <w:pPr>
                    <w:jc w:val="center"/>
                    <w:rPr>
                      <w:color w:val="auto"/>
                    </w:rPr>
                  </w:pPr>
                  <w:r>
                    <w:rPr>
                      <w:rFonts w:hint="eastAsia"/>
                      <w:color w:val="auto"/>
                    </w:rPr>
                    <w:t>颗粒物</w:t>
                  </w:r>
                </w:p>
              </w:tc>
              <w:tc>
                <w:tcPr>
                  <w:tcW w:w="1536" w:type="dxa"/>
                  <w:vAlign w:val="center"/>
                </w:tcPr>
                <w:p>
                  <w:pPr>
                    <w:jc w:val="center"/>
                    <w:rPr>
                      <w:color w:val="auto"/>
                    </w:rPr>
                  </w:pPr>
                  <w:r>
                    <w:rPr>
                      <w:rFonts w:hint="eastAsia"/>
                      <w:color w:val="auto"/>
                    </w:rPr>
                    <w:t>330.26</w:t>
                  </w:r>
                  <w:r>
                    <w:rPr>
                      <w:color w:val="auto"/>
                    </w:rPr>
                    <w:t>t/a</w:t>
                  </w:r>
                </w:p>
              </w:tc>
              <w:tc>
                <w:tcPr>
                  <w:tcW w:w="1576" w:type="dxa"/>
                  <w:vMerge w:val="continue"/>
                  <w:vAlign w:val="center"/>
                </w:tcPr>
                <w:p>
                  <w:pPr>
                    <w:jc w:val="left"/>
                    <w:rPr>
                      <w:color w:val="auto"/>
                    </w:rPr>
                  </w:pPr>
                </w:p>
              </w:tc>
              <w:tc>
                <w:tcPr>
                  <w:tcW w:w="1221" w:type="dxa"/>
                  <w:vAlign w:val="center"/>
                </w:tcPr>
                <w:p>
                  <w:pPr>
                    <w:jc w:val="center"/>
                    <w:rPr>
                      <w:color w:val="auto"/>
                    </w:rPr>
                  </w:pPr>
                  <w:r>
                    <w:rPr>
                      <w:rFonts w:hint="eastAsia"/>
                      <w:color w:val="auto"/>
                    </w:rPr>
                    <w:t>3.30</w:t>
                  </w:r>
                  <w:r>
                    <w:rPr>
                      <w:color w:val="auto"/>
                    </w:rPr>
                    <w:t>t/a</w:t>
                  </w:r>
                </w:p>
              </w:tc>
              <w:tc>
                <w:tcPr>
                  <w:tcW w:w="2592"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continue"/>
                  <w:tcMar>
                    <w:left w:w="11" w:type="dxa"/>
                    <w:right w:w="11" w:type="dxa"/>
                  </w:tcMar>
                  <w:vAlign w:val="center"/>
                </w:tcPr>
                <w:p>
                  <w:pPr>
                    <w:jc w:val="center"/>
                    <w:rPr>
                      <w:color w:val="auto"/>
                    </w:rPr>
                  </w:pPr>
                </w:p>
              </w:tc>
              <w:tc>
                <w:tcPr>
                  <w:tcW w:w="945" w:type="dxa"/>
                  <w:vMerge w:val="continue"/>
                  <w:vAlign w:val="center"/>
                </w:tcPr>
                <w:p>
                  <w:pPr>
                    <w:jc w:val="center"/>
                    <w:rPr>
                      <w:color w:val="auto"/>
                    </w:rPr>
                  </w:pPr>
                </w:p>
              </w:tc>
              <w:tc>
                <w:tcPr>
                  <w:tcW w:w="996" w:type="dxa"/>
                  <w:vAlign w:val="center"/>
                </w:tcPr>
                <w:p>
                  <w:pPr>
                    <w:jc w:val="center"/>
                    <w:rPr>
                      <w:color w:val="auto"/>
                    </w:rPr>
                  </w:pPr>
                  <w:r>
                    <w:rPr>
                      <w:rFonts w:hint="eastAsia"/>
                      <w:color w:val="auto"/>
                    </w:rPr>
                    <w:t>SO</w:t>
                  </w:r>
                  <w:r>
                    <w:rPr>
                      <w:rFonts w:hint="eastAsia"/>
                      <w:color w:val="auto"/>
                      <w:vertAlign w:val="subscript"/>
                    </w:rPr>
                    <w:t>2</w:t>
                  </w:r>
                </w:p>
              </w:tc>
              <w:tc>
                <w:tcPr>
                  <w:tcW w:w="1536" w:type="dxa"/>
                  <w:vAlign w:val="center"/>
                </w:tcPr>
                <w:p>
                  <w:pPr>
                    <w:jc w:val="center"/>
                    <w:rPr>
                      <w:color w:val="auto"/>
                    </w:rPr>
                  </w:pPr>
                  <w:r>
                    <w:rPr>
                      <w:rFonts w:hint="eastAsia"/>
                      <w:color w:val="auto"/>
                    </w:rPr>
                    <w:t>198.40</w:t>
                  </w:r>
                  <w:r>
                    <w:rPr>
                      <w:color w:val="auto"/>
                    </w:rPr>
                    <w:t>t/a</w:t>
                  </w:r>
                </w:p>
              </w:tc>
              <w:tc>
                <w:tcPr>
                  <w:tcW w:w="1576" w:type="dxa"/>
                  <w:vMerge w:val="continue"/>
                  <w:vAlign w:val="center"/>
                </w:tcPr>
                <w:p>
                  <w:pPr>
                    <w:jc w:val="left"/>
                    <w:rPr>
                      <w:color w:val="auto"/>
                    </w:rPr>
                  </w:pPr>
                </w:p>
              </w:tc>
              <w:tc>
                <w:tcPr>
                  <w:tcW w:w="1221" w:type="dxa"/>
                  <w:vAlign w:val="center"/>
                </w:tcPr>
                <w:p>
                  <w:pPr>
                    <w:jc w:val="center"/>
                    <w:rPr>
                      <w:color w:val="auto"/>
                    </w:rPr>
                  </w:pPr>
                  <w:r>
                    <w:rPr>
                      <w:rFonts w:hint="eastAsia"/>
                      <w:color w:val="auto"/>
                    </w:rPr>
                    <w:t>39.68</w:t>
                  </w:r>
                  <w:r>
                    <w:rPr>
                      <w:color w:val="auto"/>
                    </w:rPr>
                    <w:t>t/a</w:t>
                  </w:r>
                </w:p>
              </w:tc>
              <w:tc>
                <w:tcPr>
                  <w:tcW w:w="2592"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continue"/>
                  <w:tcMar>
                    <w:left w:w="11" w:type="dxa"/>
                    <w:right w:w="11" w:type="dxa"/>
                  </w:tcMar>
                  <w:vAlign w:val="center"/>
                </w:tcPr>
                <w:p>
                  <w:pPr>
                    <w:jc w:val="center"/>
                    <w:rPr>
                      <w:color w:val="auto"/>
                    </w:rPr>
                  </w:pPr>
                </w:p>
              </w:tc>
              <w:tc>
                <w:tcPr>
                  <w:tcW w:w="945" w:type="dxa"/>
                  <w:vMerge w:val="continue"/>
                  <w:vAlign w:val="center"/>
                </w:tcPr>
                <w:p>
                  <w:pPr>
                    <w:jc w:val="center"/>
                    <w:rPr>
                      <w:color w:val="auto"/>
                    </w:rPr>
                  </w:pPr>
                </w:p>
              </w:tc>
              <w:tc>
                <w:tcPr>
                  <w:tcW w:w="996" w:type="dxa"/>
                  <w:vAlign w:val="center"/>
                </w:tcPr>
                <w:p>
                  <w:pPr>
                    <w:jc w:val="center"/>
                    <w:rPr>
                      <w:color w:val="auto"/>
                    </w:rPr>
                  </w:pPr>
                  <w:r>
                    <w:rPr>
                      <w:rFonts w:hint="eastAsia"/>
                      <w:color w:val="auto"/>
                    </w:rPr>
                    <w:t>NO</w:t>
                  </w:r>
                  <w:r>
                    <w:rPr>
                      <w:rFonts w:hint="eastAsia"/>
                      <w:color w:val="auto"/>
                      <w:vertAlign w:val="subscript"/>
                    </w:rPr>
                    <w:t>X</w:t>
                  </w:r>
                </w:p>
              </w:tc>
              <w:tc>
                <w:tcPr>
                  <w:tcW w:w="1536" w:type="dxa"/>
                  <w:vAlign w:val="center"/>
                </w:tcPr>
                <w:p>
                  <w:pPr>
                    <w:jc w:val="center"/>
                    <w:rPr>
                      <w:color w:val="auto"/>
                    </w:rPr>
                  </w:pPr>
                  <w:r>
                    <w:rPr>
                      <w:rFonts w:hint="eastAsia"/>
                      <w:color w:val="auto"/>
                    </w:rPr>
                    <w:t>178.20</w:t>
                  </w:r>
                  <w:r>
                    <w:rPr>
                      <w:color w:val="auto"/>
                    </w:rPr>
                    <w:t>t/a</w:t>
                  </w:r>
                </w:p>
              </w:tc>
              <w:tc>
                <w:tcPr>
                  <w:tcW w:w="1576" w:type="dxa"/>
                  <w:vMerge w:val="continue"/>
                  <w:vAlign w:val="center"/>
                </w:tcPr>
                <w:p>
                  <w:pPr>
                    <w:jc w:val="left"/>
                    <w:rPr>
                      <w:color w:val="auto"/>
                    </w:rPr>
                  </w:pPr>
                </w:p>
              </w:tc>
              <w:tc>
                <w:tcPr>
                  <w:tcW w:w="1221" w:type="dxa"/>
                  <w:vAlign w:val="center"/>
                </w:tcPr>
                <w:p>
                  <w:pPr>
                    <w:jc w:val="center"/>
                    <w:rPr>
                      <w:color w:val="auto"/>
                    </w:rPr>
                  </w:pPr>
                  <w:r>
                    <w:rPr>
                      <w:rFonts w:hint="eastAsia"/>
                      <w:color w:val="auto"/>
                    </w:rPr>
                    <w:t>178.20</w:t>
                  </w:r>
                  <w:r>
                    <w:rPr>
                      <w:color w:val="auto"/>
                    </w:rPr>
                    <w:t>t/a</w:t>
                  </w:r>
                </w:p>
              </w:tc>
              <w:tc>
                <w:tcPr>
                  <w:tcW w:w="2592"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continue"/>
                  <w:tcMar>
                    <w:left w:w="11" w:type="dxa"/>
                    <w:right w:w="11" w:type="dxa"/>
                  </w:tcMar>
                  <w:vAlign w:val="center"/>
                </w:tcPr>
                <w:p>
                  <w:pPr>
                    <w:jc w:val="center"/>
                    <w:rPr>
                      <w:color w:val="auto"/>
                    </w:rPr>
                  </w:pPr>
                </w:p>
              </w:tc>
              <w:tc>
                <w:tcPr>
                  <w:tcW w:w="945" w:type="dxa"/>
                  <w:vMerge w:val="continue"/>
                  <w:vAlign w:val="center"/>
                </w:tcPr>
                <w:p>
                  <w:pPr>
                    <w:jc w:val="center"/>
                    <w:rPr>
                      <w:color w:val="auto"/>
                    </w:rPr>
                  </w:pPr>
                </w:p>
              </w:tc>
              <w:tc>
                <w:tcPr>
                  <w:tcW w:w="996" w:type="dxa"/>
                  <w:vAlign w:val="center"/>
                </w:tcPr>
                <w:p>
                  <w:pPr>
                    <w:jc w:val="center"/>
                    <w:rPr>
                      <w:color w:val="auto"/>
                    </w:rPr>
                  </w:pPr>
                  <w:r>
                    <w:rPr>
                      <w:rFonts w:hint="eastAsia"/>
                      <w:color w:val="auto"/>
                    </w:rPr>
                    <w:t>NH</w:t>
                  </w:r>
                  <w:r>
                    <w:rPr>
                      <w:rFonts w:hint="eastAsia"/>
                      <w:color w:val="auto"/>
                      <w:vertAlign w:val="subscript"/>
                    </w:rPr>
                    <w:t>3</w:t>
                  </w:r>
                </w:p>
              </w:tc>
              <w:tc>
                <w:tcPr>
                  <w:tcW w:w="1536" w:type="dxa"/>
                  <w:vAlign w:val="center"/>
                </w:tcPr>
                <w:p>
                  <w:pPr>
                    <w:jc w:val="center"/>
                    <w:rPr>
                      <w:color w:val="auto"/>
                    </w:rPr>
                  </w:pPr>
                  <w:r>
                    <w:rPr>
                      <w:rFonts w:hint="eastAsia"/>
                      <w:color w:val="auto"/>
                    </w:rPr>
                    <w:t>2.54</w:t>
                  </w:r>
                  <w:r>
                    <w:rPr>
                      <w:color w:val="auto"/>
                    </w:rPr>
                    <w:t>t/a</w:t>
                  </w:r>
                </w:p>
              </w:tc>
              <w:tc>
                <w:tcPr>
                  <w:tcW w:w="1576" w:type="dxa"/>
                  <w:vMerge w:val="continue"/>
                  <w:vAlign w:val="center"/>
                </w:tcPr>
                <w:p>
                  <w:pPr>
                    <w:jc w:val="left"/>
                    <w:rPr>
                      <w:color w:val="auto"/>
                    </w:rPr>
                  </w:pPr>
                </w:p>
              </w:tc>
              <w:tc>
                <w:tcPr>
                  <w:tcW w:w="1221" w:type="dxa"/>
                  <w:vAlign w:val="center"/>
                </w:tcPr>
                <w:p>
                  <w:pPr>
                    <w:jc w:val="center"/>
                    <w:rPr>
                      <w:color w:val="auto"/>
                    </w:rPr>
                  </w:pPr>
                  <w:r>
                    <w:rPr>
                      <w:rFonts w:hint="eastAsia"/>
                      <w:color w:val="auto"/>
                    </w:rPr>
                    <w:t>2.54</w:t>
                  </w:r>
                  <w:r>
                    <w:rPr>
                      <w:color w:val="auto"/>
                    </w:rPr>
                    <w:t>t/a</w:t>
                  </w:r>
                </w:p>
              </w:tc>
              <w:tc>
                <w:tcPr>
                  <w:tcW w:w="2592"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continue"/>
                  <w:tcMar>
                    <w:left w:w="11" w:type="dxa"/>
                    <w:right w:w="11" w:type="dxa"/>
                  </w:tcMar>
                  <w:vAlign w:val="center"/>
                </w:tcPr>
                <w:p>
                  <w:pPr>
                    <w:jc w:val="center"/>
                    <w:rPr>
                      <w:color w:val="auto"/>
                    </w:rPr>
                  </w:pPr>
                </w:p>
              </w:tc>
              <w:tc>
                <w:tcPr>
                  <w:tcW w:w="945" w:type="dxa"/>
                  <w:vMerge w:val="restart"/>
                  <w:vAlign w:val="center"/>
                </w:tcPr>
                <w:p>
                  <w:pPr>
                    <w:jc w:val="center"/>
                    <w:rPr>
                      <w:color w:val="auto"/>
                    </w:rPr>
                  </w:pPr>
                  <w:r>
                    <w:rPr>
                      <w:rFonts w:hint="eastAsia"/>
                      <w:color w:val="auto"/>
                    </w:rPr>
                    <w:t>2#烟囱</w:t>
                  </w:r>
                </w:p>
              </w:tc>
              <w:tc>
                <w:tcPr>
                  <w:tcW w:w="996" w:type="dxa"/>
                  <w:vAlign w:val="center"/>
                </w:tcPr>
                <w:p>
                  <w:pPr>
                    <w:jc w:val="center"/>
                    <w:rPr>
                      <w:color w:val="auto"/>
                    </w:rPr>
                  </w:pPr>
                  <w:r>
                    <w:rPr>
                      <w:rFonts w:hint="eastAsia"/>
                      <w:color w:val="auto"/>
                    </w:rPr>
                    <w:t>废气</w:t>
                  </w:r>
                  <w:r>
                    <w:rPr>
                      <w:color w:val="auto"/>
                    </w:rPr>
                    <w:t>量</w:t>
                  </w:r>
                </w:p>
              </w:tc>
              <w:tc>
                <w:tcPr>
                  <w:tcW w:w="1536" w:type="dxa"/>
                  <w:vAlign w:val="center"/>
                </w:tcPr>
                <w:p>
                  <w:pPr>
                    <w:jc w:val="center"/>
                    <w:rPr>
                      <w:color w:val="auto"/>
                    </w:rPr>
                  </w:pPr>
                  <w:r>
                    <w:rPr>
                      <w:rFonts w:hint="eastAsia"/>
                      <w:color w:val="auto"/>
                    </w:rPr>
                    <w:t>183940.416万Nm</w:t>
                  </w:r>
                  <w:r>
                    <w:rPr>
                      <w:rFonts w:hint="eastAsia"/>
                      <w:color w:val="auto"/>
                      <w:vertAlign w:val="superscript"/>
                    </w:rPr>
                    <w:t>3</w:t>
                  </w:r>
                </w:p>
              </w:tc>
              <w:tc>
                <w:tcPr>
                  <w:tcW w:w="1576" w:type="dxa"/>
                  <w:vMerge w:val="continue"/>
                  <w:vAlign w:val="center"/>
                </w:tcPr>
                <w:p>
                  <w:pPr>
                    <w:jc w:val="left"/>
                    <w:rPr>
                      <w:color w:val="auto"/>
                    </w:rPr>
                  </w:pPr>
                </w:p>
              </w:tc>
              <w:tc>
                <w:tcPr>
                  <w:tcW w:w="1221" w:type="dxa"/>
                  <w:vAlign w:val="center"/>
                </w:tcPr>
                <w:p>
                  <w:pPr>
                    <w:jc w:val="center"/>
                    <w:rPr>
                      <w:color w:val="auto"/>
                    </w:rPr>
                  </w:pPr>
                  <w:r>
                    <w:rPr>
                      <w:rFonts w:hint="eastAsia"/>
                      <w:color w:val="auto"/>
                    </w:rPr>
                    <w:t>83940.416万Nm</w:t>
                  </w:r>
                  <w:r>
                    <w:rPr>
                      <w:rFonts w:hint="eastAsia"/>
                      <w:color w:val="auto"/>
                      <w:vertAlign w:val="superscript"/>
                    </w:rPr>
                    <w:t>3</w:t>
                  </w:r>
                </w:p>
              </w:tc>
              <w:tc>
                <w:tcPr>
                  <w:tcW w:w="2592"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continue"/>
                  <w:tcMar>
                    <w:left w:w="11" w:type="dxa"/>
                    <w:right w:w="11" w:type="dxa"/>
                  </w:tcMar>
                  <w:vAlign w:val="center"/>
                </w:tcPr>
                <w:p>
                  <w:pPr>
                    <w:jc w:val="center"/>
                    <w:rPr>
                      <w:color w:val="auto"/>
                    </w:rPr>
                  </w:pPr>
                </w:p>
              </w:tc>
              <w:tc>
                <w:tcPr>
                  <w:tcW w:w="945" w:type="dxa"/>
                  <w:vMerge w:val="continue"/>
                  <w:vAlign w:val="center"/>
                </w:tcPr>
                <w:p>
                  <w:pPr>
                    <w:jc w:val="center"/>
                    <w:rPr>
                      <w:color w:val="auto"/>
                    </w:rPr>
                  </w:pPr>
                </w:p>
              </w:tc>
              <w:tc>
                <w:tcPr>
                  <w:tcW w:w="996" w:type="dxa"/>
                  <w:vAlign w:val="center"/>
                </w:tcPr>
                <w:p>
                  <w:pPr>
                    <w:jc w:val="center"/>
                    <w:rPr>
                      <w:color w:val="auto"/>
                    </w:rPr>
                  </w:pPr>
                  <w:r>
                    <w:rPr>
                      <w:rFonts w:hint="eastAsia"/>
                      <w:color w:val="auto"/>
                    </w:rPr>
                    <w:t>颗粒物</w:t>
                  </w:r>
                </w:p>
              </w:tc>
              <w:tc>
                <w:tcPr>
                  <w:tcW w:w="1536" w:type="dxa"/>
                  <w:vAlign w:val="center"/>
                </w:tcPr>
                <w:p>
                  <w:pPr>
                    <w:jc w:val="center"/>
                    <w:rPr>
                      <w:color w:val="auto"/>
                    </w:rPr>
                  </w:pPr>
                  <w:r>
                    <w:rPr>
                      <w:color w:val="auto"/>
                    </w:rPr>
                    <w:t>226.25t/a</w:t>
                  </w:r>
                </w:p>
              </w:tc>
              <w:tc>
                <w:tcPr>
                  <w:tcW w:w="1576" w:type="dxa"/>
                  <w:vMerge w:val="continue"/>
                  <w:vAlign w:val="center"/>
                </w:tcPr>
                <w:p>
                  <w:pPr>
                    <w:jc w:val="left"/>
                    <w:rPr>
                      <w:color w:val="auto"/>
                    </w:rPr>
                  </w:pPr>
                </w:p>
              </w:tc>
              <w:tc>
                <w:tcPr>
                  <w:tcW w:w="1221" w:type="dxa"/>
                  <w:vAlign w:val="center"/>
                </w:tcPr>
                <w:p>
                  <w:pPr>
                    <w:jc w:val="center"/>
                    <w:rPr>
                      <w:color w:val="auto"/>
                    </w:rPr>
                  </w:pPr>
                  <w:r>
                    <w:rPr>
                      <w:rFonts w:hint="eastAsia"/>
                      <w:color w:val="auto"/>
                    </w:rPr>
                    <w:t>2.</w:t>
                  </w:r>
                  <w:r>
                    <w:rPr>
                      <w:color w:val="auto"/>
                    </w:rPr>
                    <w:t>26t/a</w:t>
                  </w:r>
                </w:p>
              </w:tc>
              <w:tc>
                <w:tcPr>
                  <w:tcW w:w="2592"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continue"/>
                  <w:tcMar>
                    <w:left w:w="11" w:type="dxa"/>
                    <w:right w:w="11" w:type="dxa"/>
                  </w:tcMar>
                  <w:vAlign w:val="center"/>
                </w:tcPr>
                <w:p>
                  <w:pPr>
                    <w:jc w:val="center"/>
                    <w:rPr>
                      <w:color w:val="auto"/>
                    </w:rPr>
                  </w:pPr>
                </w:p>
              </w:tc>
              <w:tc>
                <w:tcPr>
                  <w:tcW w:w="945" w:type="dxa"/>
                  <w:vMerge w:val="continue"/>
                  <w:vAlign w:val="center"/>
                </w:tcPr>
                <w:p>
                  <w:pPr>
                    <w:jc w:val="center"/>
                    <w:rPr>
                      <w:color w:val="auto"/>
                    </w:rPr>
                  </w:pPr>
                </w:p>
              </w:tc>
              <w:tc>
                <w:tcPr>
                  <w:tcW w:w="996" w:type="dxa"/>
                  <w:vAlign w:val="center"/>
                </w:tcPr>
                <w:p>
                  <w:pPr>
                    <w:jc w:val="center"/>
                    <w:rPr>
                      <w:color w:val="auto"/>
                    </w:rPr>
                  </w:pPr>
                  <w:r>
                    <w:rPr>
                      <w:rFonts w:hint="eastAsia"/>
                      <w:color w:val="auto"/>
                    </w:rPr>
                    <w:t>SO</w:t>
                  </w:r>
                  <w:r>
                    <w:rPr>
                      <w:rFonts w:hint="eastAsia"/>
                      <w:color w:val="auto"/>
                      <w:vertAlign w:val="subscript"/>
                    </w:rPr>
                    <w:t>2</w:t>
                  </w:r>
                </w:p>
              </w:tc>
              <w:tc>
                <w:tcPr>
                  <w:tcW w:w="1536" w:type="dxa"/>
                  <w:vAlign w:val="center"/>
                </w:tcPr>
                <w:p>
                  <w:pPr>
                    <w:jc w:val="center"/>
                    <w:rPr>
                      <w:color w:val="auto"/>
                    </w:rPr>
                  </w:pPr>
                  <w:r>
                    <w:rPr>
                      <w:rFonts w:hint="eastAsia"/>
                      <w:color w:val="auto"/>
                    </w:rPr>
                    <w:t>169.09</w:t>
                  </w:r>
                  <w:r>
                    <w:rPr>
                      <w:color w:val="auto"/>
                    </w:rPr>
                    <w:t>t/a</w:t>
                  </w:r>
                </w:p>
              </w:tc>
              <w:tc>
                <w:tcPr>
                  <w:tcW w:w="1576" w:type="dxa"/>
                  <w:vMerge w:val="continue"/>
                  <w:vAlign w:val="center"/>
                </w:tcPr>
                <w:p>
                  <w:pPr>
                    <w:jc w:val="left"/>
                    <w:rPr>
                      <w:color w:val="auto"/>
                    </w:rPr>
                  </w:pPr>
                </w:p>
              </w:tc>
              <w:tc>
                <w:tcPr>
                  <w:tcW w:w="1221" w:type="dxa"/>
                  <w:vAlign w:val="center"/>
                </w:tcPr>
                <w:p>
                  <w:pPr>
                    <w:jc w:val="center"/>
                    <w:rPr>
                      <w:color w:val="auto"/>
                    </w:rPr>
                  </w:pPr>
                  <w:r>
                    <w:rPr>
                      <w:color w:val="auto"/>
                    </w:rPr>
                    <w:t>33.85t/a</w:t>
                  </w:r>
                </w:p>
              </w:tc>
              <w:tc>
                <w:tcPr>
                  <w:tcW w:w="2592"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continue"/>
                  <w:tcMar>
                    <w:left w:w="11" w:type="dxa"/>
                    <w:right w:w="11" w:type="dxa"/>
                  </w:tcMar>
                  <w:vAlign w:val="center"/>
                </w:tcPr>
                <w:p>
                  <w:pPr>
                    <w:jc w:val="center"/>
                    <w:rPr>
                      <w:color w:val="auto"/>
                    </w:rPr>
                  </w:pPr>
                </w:p>
              </w:tc>
              <w:tc>
                <w:tcPr>
                  <w:tcW w:w="945" w:type="dxa"/>
                  <w:vMerge w:val="continue"/>
                  <w:vAlign w:val="center"/>
                </w:tcPr>
                <w:p>
                  <w:pPr>
                    <w:jc w:val="center"/>
                    <w:rPr>
                      <w:color w:val="auto"/>
                    </w:rPr>
                  </w:pPr>
                </w:p>
              </w:tc>
              <w:tc>
                <w:tcPr>
                  <w:tcW w:w="996" w:type="dxa"/>
                  <w:vAlign w:val="center"/>
                </w:tcPr>
                <w:p>
                  <w:pPr>
                    <w:jc w:val="center"/>
                    <w:rPr>
                      <w:color w:val="auto"/>
                    </w:rPr>
                  </w:pPr>
                  <w:r>
                    <w:rPr>
                      <w:rFonts w:hint="eastAsia"/>
                      <w:color w:val="auto"/>
                    </w:rPr>
                    <w:t>NO</w:t>
                  </w:r>
                  <w:r>
                    <w:rPr>
                      <w:rFonts w:hint="eastAsia"/>
                      <w:color w:val="auto"/>
                      <w:vertAlign w:val="subscript"/>
                    </w:rPr>
                    <w:t>X</w:t>
                  </w:r>
                </w:p>
              </w:tc>
              <w:tc>
                <w:tcPr>
                  <w:tcW w:w="1536" w:type="dxa"/>
                  <w:vAlign w:val="center"/>
                </w:tcPr>
                <w:p>
                  <w:pPr>
                    <w:jc w:val="center"/>
                    <w:rPr>
                      <w:color w:val="auto"/>
                    </w:rPr>
                  </w:pPr>
                  <w:r>
                    <w:rPr>
                      <w:rFonts w:hint="eastAsia"/>
                      <w:color w:val="auto"/>
                    </w:rPr>
                    <w:t>137.81</w:t>
                  </w:r>
                  <w:r>
                    <w:rPr>
                      <w:color w:val="auto"/>
                    </w:rPr>
                    <w:t>t/a</w:t>
                  </w:r>
                </w:p>
              </w:tc>
              <w:tc>
                <w:tcPr>
                  <w:tcW w:w="1576" w:type="dxa"/>
                  <w:vMerge w:val="continue"/>
                  <w:vAlign w:val="center"/>
                </w:tcPr>
                <w:p>
                  <w:pPr>
                    <w:jc w:val="left"/>
                    <w:rPr>
                      <w:color w:val="auto"/>
                    </w:rPr>
                  </w:pPr>
                </w:p>
              </w:tc>
              <w:tc>
                <w:tcPr>
                  <w:tcW w:w="1221" w:type="dxa"/>
                  <w:vAlign w:val="center"/>
                </w:tcPr>
                <w:p>
                  <w:pPr>
                    <w:jc w:val="center"/>
                    <w:rPr>
                      <w:color w:val="auto"/>
                    </w:rPr>
                  </w:pPr>
                  <w:r>
                    <w:rPr>
                      <w:color w:val="auto"/>
                    </w:rPr>
                    <w:t>137.</w:t>
                  </w:r>
                  <w:r>
                    <w:rPr>
                      <w:rFonts w:hint="eastAsia"/>
                      <w:color w:val="auto"/>
                    </w:rPr>
                    <w:t>81</w:t>
                  </w:r>
                  <w:r>
                    <w:rPr>
                      <w:color w:val="auto"/>
                    </w:rPr>
                    <w:t>t/a</w:t>
                  </w:r>
                </w:p>
              </w:tc>
              <w:tc>
                <w:tcPr>
                  <w:tcW w:w="2592"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continue"/>
                  <w:tcMar>
                    <w:left w:w="11" w:type="dxa"/>
                    <w:right w:w="11" w:type="dxa"/>
                  </w:tcMar>
                  <w:vAlign w:val="center"/>
                </w:tcPr>
                <w:p>
                  <w:pPr>
                    <w:jc w:val="center"/>
                    <w:rPr>
                      <w:color w:val="auto"/>
                    </w:rPr>
                  </w:pPr>
                </w:p>
              </w:tc>
              <w:tc>
                <w:tcPr>
                  <w:tcW w:w="945" w:type="dxa"/>
                  <w:vMerge w:val="continue"/>
                  <w:vAlign w:val="center"/>
                </w:tcPr>
                <w:p>
                  <w:pPr>
                    <w:jc w:val="center"/>
                    <w:rPr>
                      <w:color w:val="auto"/>
                    </w:rPr>
                  </w:pPr>
                </w:p>
              </w:tc>
              <w:tc>
                <w:tcPr>
                  <w:tcW w:w="996" w:type="dxa"/>
                  <w:vAlign w:val="center"/>
                </w:tcPr>
                <w:p>
                  <w:pPr>
                    <w:jc w:val="center"/>
                    <w:rPr>
                      <w:color w:val="auto"/>
                    </w:rPr>
                  </w:pPr>
                  <w:r>
                    <w:rPr>
                      <w:rFonts w:hint="eastAsia"/>
                      <w:color w:val="auto"/>
                    </w:rPr>
                    <w:t>NH</w:t>
                  </w:r>
                  <w:r>
                    <w:rPr>
                      <w:rFonts w:hint="eastAsia"/>
                      <w:color w:val="auto"/>
                      <w:vertAlign w:val="subscript"/>
                    </w:rPr>
                    <w:t>3</w:t>
                  </w:r>
                </w:p>
              </w:tc>
              <w:tc>
                <w:tcPr>
                  <w:tcW w:w="1536" w:type="dxa"/>
                  <w:vAlign w:val="center"/>
                </w:tcPr>
                <w:p>
                  <w:pPr>
                    <w:jc w:val="center"/>
                    <w:rPr>
                      <w:color w:val="auto"/>
                    </w:rPr>
                  </w:pPr>
                  <w:r>
                    <w:rPr>
                      <w:color w:val="auto"/>
                    </w:rPr>
                    <w:t>1.89t/a</w:t>
                  </w:r>
                </w:p>
              </w:tc>
              <w:tc>
                <w:tcPr>
                  <w:tcW w:w="1576" w:type="dxa"/>
                  <w:vMerge w:val="continue"/>
                  <w:vAlign w:val="center"/>
                </w:tcPr>
                <w:p>
                  <w:pPr>
                    <w:jc w:val="left"/>
                    <w:rPr>
                      <w:color w:val="auto"/>
                    </w:rPr>
                  </w:pPr>
                </w:p>
              </w:tc>
              <w:tc>
                <w:tcPr>
                  <w:tcW w:w="1221" w:type="dxa"/>
                  <w:vAlign w:val="center"/>
                </w:tcPr>
                <w:p>
                  <w:pPr>
                    <w:jc w:val="center"/>
                    <w:rPr>
                      <w:color w:val="auto"/>
                    </w:rPr>
                  </w:pPr>
                  <w:r>
                    <w:rPr>
                      <w:color w:val="auto"/>
                    </w:rPr>
                    <w:t>1.89t/a</w:t>
                  </w:r>
                </w:p>
              </w:tc>
              <w:tc>
                <w:tcPr>
                  <w:tcW w:w="2592"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continue"/>
                  <w:tcMar>
                    <w:left w:w="11" w:type="dxa"/>
                    <w:right w:w="11" w:type="dxa"/>
                  </w:tcMar>
                  <w:vAlign w:val="center"/>
                </w:tcPr>
                <w:p>
                  <w:pPr>
                    <w:jc w:val="center"/>
                    <w:rPr>
                      <w:color w:val="auto"/>
                    </w:rPr>
                  </w:pPr>
                </w:p>
              </w:tc>
              <w:tc>
                <w:tcPr>
                  <w:tcW w:w="945" w:type="dxa"/>
                  <w:vMerge w:val="restart"/>
                  <w:vAlign w:val="center"/>
                </w:tcPr>
                <w:p>
                  <w:pPr>
                    <w:jc w:val="center"/>
                    <w:rPr>
                      <w:color w:val="auto"/>
                    </w:rPr>
                  </w:pPr>
                  <w:r>
                    <w:rPr>
                      <w:rFonts w:hint="eastAsia"/>
                      <w:color w:val="auto"/>
                    </w:rPr>
                    <w:t>3#烟囱</w:t>
                  </w:r>
                </w:p>
              </w:tc>
              <w:tc>
                <w:tcPr>
                  <w:tcW w:w="996" w:type="dxa"/>
                  <w:vAlign w:val="center"/>
                </w:tcPr>
                <w:p>
                  <w:pPr>
                    <w:jc w:val="center"/>
                    <w:rPr>
                      <w:color w:val="auto"/>
                    </w:rPr>
                  </w:pPr>
                  <w:r>
                    <w:rPr>
                      <w:rFonts w:hint="eastAsia"/>
                      <w:color w:val="auto"/>
                    </w:rPr>
                    <w:t>废气</w:t>
                  </w:r>
                  <w:r>
                    <w:rPr>
                      <w:color w:val="auto"/>
                    </w:rPr>
                    <w:t>量</w:t>
                  </w:r>
                </w:p>
              </w:tc>
              <w:tc>
                <w:tcPr>
                  <w:tcW w:w="1536" w:type="dxa"/>
                  <w:vAlign w:val="center"/>
                </w:tcPr>
                <w:p>
                  <w:pPr>
                    <w:jc w:val="center"/>
                    <w:rPr>
                      <w:color w:val="auto"/>
                    </w:rPr>
                  </w:pPr>
                  <w:r>
                    <w:rPr>
                      <w:color w:val="auto"/>
                    </w:rPr>
                    <w:t>504812.88</w:t>
                  </w:r>
                  <w:r>
                    <w:rPr>
                      <w:rFonts w:hint="eastAsia"/>
                      <w:color w:val="auto"/>
                    </w:rPr>
                    <w:t>万Nm</w:t>
                  </w:r>
                  <w:r>
                    <w:rPr>
                      <w:rFonts w:hint="eastAsia"/>
                      <w:color w:val="auto"/>
                      <w:vertAlign w:val="superscript"/>
                    </w:rPr>
                    <w:t>3</w:t>
                  </w:r>
                </w:p>
              </w:tc>
              <w:tc>
                <w:tcPr>
                  <w:tcW w:w="1576" w:type="dxa"/>
                  <w:vMerge w:val="continue"/>
                  <w:vAlign w:val="center"/>
                </w:tcPr>
                <w:p>
                  <w:pPr>
                    <w:jc w:val="left"/>
                    <w:rPr>
                      <w:color w:val="auto"/>
                    </w:rPr>
                  </w:pPr>
                </w:p>
              </w:tc>
              <w:tc>
                <w:tcPr>
                  <w:tcW w:w="1221" w:type="dxa"/>
                  <w:vAlign w:val="center"/>
                </w:tcPr>
                <w:p>
                  <w:pPr>
                    <w:jc w:val="center"/>
                    <w:rPr>
                      <w:color w:val="auto"/>
                    </w:rPr>
                  </w:pPr>
                  <w:r>
                    <w:rPr>
                      <w:color w:val="auto"/>
                    </w:rPr>
                    <w:t>504812.88</w:t>
                  </w:r>
                  <w:r>
                    <w:rPr>
                      <w:rFonts w:hint="eastAsia"/>
                      <w:color w:val="auto"/>
                    </w:rPr>
                    <w:t>万Nm</w:t>
                  </w:r>
                  <w:r>
                    <w:rPr>
                      <w:rFonts w:hint="eastAsia"/>
                      <w:color w:val="auto"/>
                      <w:vertAlign w:val="superscript"/>
                    </w:rPr>
                    <w:t>3</w:t>
                  </w:r>
                </w:p>
              </w:tc>
              <w:tc>
                <w:tcPr>
                  <w:tcW w:w="2592"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continue"/>
                  <w:tcMar>
                    <w:left w:w="11" w:type="dxa"/>
                    <w:right w:w="11" w:type="dxa"/>
                  </w:tcMar>
                  <w:vAlign w:val="center"/>
                </w:tcPr>
                <w:p>
                  <w:pPr>
                    <w:jc w:val="center"/>
                    <w:rPr>
                      <w:color w:val="auto"/>
                    </w:rPr>
                  </w:pPr>
                </w:p>
              </w:tc>
              <w:tc>
                <w:tcPr>
                  <w:tcW w:w="945" w:type="dxa"/>
                  <w:vMerge w:val="continue"/>
                  <w:vAlign w:val="center"/>
                </w:tcPr>
                <w:p>
                  <w:pPr>
                    <w:jc w:val="center"/>
                    <w:rPr>
                      <w:color w:val="auto"/>
                    </w:rPr>
                  </w:pPr>
                </w:p>
              </w:tc>
              <w:tc>
                <w:tcPr>
                  <w:tcW w:w="996" w:type="dxa"/>
                  <w:vAlign w:val="center"/>
                </w:tcPr>
                <w:p>
                  <w:pPr>
                    <w:jc w:val="center"/>
                    <w:rPr>
                      <w:color w:val="auto"/>
                    </w:rPr>
                  </w:pPr>
                  <w:r>
                    <w:rPr>
                      <w:rFonts w:hint="eastAsia"/>
                      <w:color w:val="auto"/>
                    </w:rPr>
                    <w:t>颗粒物</w:t>
                  </w:r>
                </w:p>
              </w:tc>
              <w:tc>
                <w:tcPr>
                  <w:tcW w:w="1536" w:type="dxa"/>
                  <w:vAlign w:val="center"/>
                </w:tcPr>
                <w:p>
                  <w:pPr>
                    <w:jc w:val="center"/>
                    <w:rPr>
                      <w:color w:val="auto"/>
                    </w:rPr>
                  </w:pPr>
                  <w:r>
                    <w:rPr>
                      <w:color w:val="auto"/>
                    </w:rPr>
                    <w:t>2342.33t/a</w:t>
                  </w:r>
                </w:p>
              </w:tc>
              <w:tc>
                <w:tcPr>
                  <w:tcW w:w="1576" w:type="dxa"/>
                  <w:vMerge w:val="continue"/>
                  <w:vAlign w:val="center"/>
                </w:tcPr>
                <w:p>
                  <w:pPr>
                    <w:jc w:val="left"/>
                    <w:rPr>
                      <w:color w:val="auto"/>
                    </w:rPr>
                  </w:pPr>
                </w:p>
              </w:tc>
              <w:tc>
                <w:tcPr>
                  <w:tcW w:w="1221" w:type="dxa"/>
                  <w:vAlign w:val="center"/>
                </w:tcPr>
                <w:p>
                  <w:pPr>
                    <w:jc w:val="center"/>
                    <w:rPr>
                      <w:color w:val="auto"/>
                    </w:rPr>
                  </w:pPr>
                  <w:r>
                    <w:rPr>
                      <w:color w:val="auto"/>
                    </w:rPr>
                    <w:t>23.42t/a</w:t>
                  </w:r>
                </w:p>
              </w:tc>
              <w:tc>
                <w:tcPr>
                  <w:tcW w:w="2592"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continue"/>
                  <w:tcMar>
                    <w:left w:w="11" w:type="dxa"/>
                    <w:right w:w="11" w:type="dxa"/>
                  </w:tcMar>
                  <w:vAlign w:val="center"/>
                </w:tcPr>
                <w:p>
                  <w:pPr>
                    <w:jc w:val="center"/>
                    <w:rPr>
                      <w:color w:val="auto"/>
                    </w:rPr>
                  </w:pPr>
                </w:p>
              </w:tc>
              <w:tc>
                <w:tcPr>
                  <w:tcW w:w="945" w:type="dxa"/>
                  <w:vMerge w:val="continue"/>
                  <w:vAlign w:val="center"/>
                </w:tcPr>
                <w:p>
                  <w:pPr>
                    <w:jc w:val="center"/>
                    <w:rPr>
                      <w:color w:val="auto"/>
                    </w:rPr>
                  </w:pPr>
                </w:p>
              </w:tc>
              <w:tc>
                <w:tcPr>
                  <w:tcW w:w="996" w:type="dxa"/>
                  <w:vAlign w:val="center"/>
                </w:tcPr>
                <w:p>
                  <w:pPr>
                    <w:jc w:val="center"/>
                    <w:rPr>
                      <w:color w:val="auto"/>
                    </w:rPr>
                  </w:pPr>
                  <w:r>
                    <w:rPr>
                      <w:rFonts w:hint="eastAsia"/>
                      <w:color w:val="auto"/>
                    </w:rPr>
                    <w:t>SO</w:t>
                  </w:r>
                  <w:r>
                    <w:rPr>
                      <w:rFonts w:hint="eastAsia"/>
                      <w:color w:val="auto"/>
                      <w:vertAlign w:val="subscript"/>
                    </w:rPr>
                    <w:t>2</w:t>
                  </w:r>
                </w:p>
              </w:tc>
              <w:tc>
                <w:tcPr>
                  <w:tcW w:w="1536" w:type="dxa"/>
                  <w:vAlign w:val="center"/>
                </w:tcPr>
                <w:p>
                  <w:pPr>
                    <w:jc w:val="center"/>
                    <w:rPr>
                      <w:color w:val="auto"/>
                    </w:rPr>
                  </w:pPr>
                  <w:r>
                    <w:rPr>
                      <w:rFonts w:hint="eastAsia"/>
                      <w:color w:val="auto"/>
                    </w:rPr>
                    <w:t>477.18</w:t>
                  </w:r>
                  <w:r>
                    <w:rPr>
                      <w:color w:val="auto"/>
                    </w:rPr>
                    <w:t>t/a</w:t>
                  </w:r>
                </w:p>
              </w:tc>
              <w:tc>
                <w:tcPr>
                  <w:tcW w:w="1576" w:type="dxa"/>
                  <w:vMerge w:val="continue"/>
                  <w:vAlign w:val="center"/>
                </w:tcPr>
                <w:p>
                  <w:pPr>
                    <w:jc w:val="left"/>
                    <w:rPr>
                      <w:color w:val="auto"/>
                    </w:rPr>
                  </w:pPr>
                </w:p>
              </w:tc>
              <w:tc>
                <w:tcPr>
                  <w:tcW w:w="1221" w:type="dxa"/>
                  <w:vAlign w:val="center"/>
                </w:tcPr>
                <w:p>
                  <w:pPr>
                    <w:jc w:val="center"/>
                    <w:rPr>
                      <w:color w:val="auto"/>
                    </w:rPr>
                  </w:pPr>
                  <w:r>
                    <w:rPr>
                      <w:color w:val="auto"/>
                    </w:rPr>
                    <w:t>95.41t/a</w:t>
                  </w:r>
                </w:p>
              </w:tc>
              <w:tc>
                <w:tcPr>
                  <w:tcW w:w="2592"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continue"/>
                  <w:tcMar>
                    <w:left w:w="11" w:type="dxa"/>
                    <w:right w:w="11" w:type="dxa"/>
                  </w:tcMar>
                  <w:vAlign w:val="center"/>
                </w:tcPr>
                <w:p>
                  <w:pPr>
                    <w:jc w:val="center"/>
                    <w:rPr>
                      <w:color w:val="auto"/>
                    </w:rPr>
                  </w:pPr>
                </w:p>
              </w:tc>
              <w:tc>
                <w:tcPr>
                  <w:tcW w:w="945" w:type="dxa"/>
                  <w:vMerge w:val="continue"/>
                  <w:vAlign w:val="center"/>
                </w:tcPr>
                <w:p>
                  <w:pPr>
                    <w:jc w:val="center"/>
                    <w:rPr>
                      <w:color w:val="auto"/>
                    </w:rPr>
                  </w:pPr>
                </w:p>
              </w:tc>
              <w:tc>
                <w:tcPr>
                  <w:tcW w:w="996" w:type="dxa"/>
                  <w:vAlign w:val="center"/>
                </w:tcPr>
                <w:p>
                  <w:pPr>
                    <w:jc w:val="center"/>
                    <w:rPr>
                      <w:color w:val="auto"/>
                    </w:rPr>
                  </w:pPr>
                  <w:r>
                    <w:rPr>
                      <w:rFonts w:hint="eastAsia"/>
                      <w:color w:val="auto"/>
                    </w:rPr>
                    <w:t>NO</w:t>
                  </w:r>
                  <w:r>
                    <w:rPr>
                      <w:rFonts w:hint="eastAsia"/>
                      <w:color w:val="auto"/>
                      <w:vertAlign w:val="subscript"/>
                    </w:rPr>
                    <w:t>X</w:t>
                  </w:r>
                </w:p>
              </w:tc>
              <w:tc>
                <w:tcPr>
                  <w:tcW w:w="1536" w:type="dxa"/>
                  <w:vAlign w:val="center"/>
                </w:tcPr>
                <w:p>
                  <w:pPr>
                    <w:jc w:val="center"/>
                    <w:rPr>
                      <w:color w:val="auto"/>
                    </w:rPr>
                  </w:pPr>
                  <w:r>
                    <w:rPr>
                      <w:rFonts w:hint="eastAsia"/>
                      <w:color w:val="auto"/>
                    </w:rPr>
                    <w:t>402.81</w:t>
                  </w:r>
                  <w:r>
                    <w:rPr>
                      <w:color w:val="auto"/>
                    </w:rPr>
                    <w:t>t/a</w:t>
                  </w:r>
                </w:p>
              </w:tc>
              <w:tc>
                <w:tcPr>
                  <w:tcW w:w="1576" w:type="dxa"/>
                  <w:vMerge w:val="continue"/>
                  <w:vAlign w:val="center"/>
                </w:tcPr>
                <w:p>
                  <w:pPr>
                    <w:jc w:val="left"/>
                    <w:rPr>
                      <w:color w:val="auto"/>
                    </w:rPr>
                  </w:pPr>
                </w:p>
              </w:tc>
              <w:tc>
                <w:tcPr>
                  <w:tcW w:w="1221" w:type="dxa"/>
                  <w:vAlign w:val="center"/>
                </w:tcPr>
                <w:p>
                  <w:pPr>
                    <w:jc w:val="center"/>
                    <w:rPr>
                      <w:color w:val="auto"/>
                    </w:rPr>
                  </w:pPr>
                  <w:r>
                    <w:rPr>
                      <w:rFonts w:hint="eastAsia"/>
                      <w:color w:val="auto"/>
                    </w:rPr>
                    <w:t>402.81</w:t>
                  </w:r>
                  <w:r>
                    <w:rPr>
                      <w:color w:val="auto"/>
                    </w:rPr>
                    <w:t>t/a</w:t>
                  </w:r>
                </w:p>
              </w:tc>
              <w:tc>
                <w:tcPr>
                  <w:tcW w:w="2592"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continue"/>
                  <w:tcMar>
                    <w:left w:w="11" w:type="dxa"/>
                    <w:right w:w="11" w:type="dxa"/>
                  </w:tcMar>
                  <w:vAlign w:val="center"/>
                </w:tcPr>
                <w:p>
                  <w:pPr>
                    <w:jc w:val="center"/>
                    <w:rPr>
                      <w:color w:val="auto"/>
                    </w:rPr>
                  </w:pPr>
                </w:p>
              </w:tc>
              <w:tc>
                <w:tcPr>
                  <w:tcW w:w="945" w:type="dxa"/>
                  <w:vMerge w:val="continue"/>
                  <w:vAlign w:val="center"/>
                </w:tcPr>
                <w:p>
                  <w:pPr>
                    <w:jc w:val="center"/>
                    <w:rPr>
                      <w:color w:val="auto"/>
                    </w:rPr>
                  </w:pPr>
                </w:p>
              </w:tc>
              <w:tc>
                <w:tcPr>
                  <w:tcW w:w="996" w:type="dxa"/>
                  <w:vAlign w:val="center"/>
                </w:tcPr>
                <w:p>
                  <w:pPr>
                    <w:jc w:val="center"/>
                    <w:rPr>
                      <w:color w:val="auto"/>
                    </w:rPr>
                  </w:pPr>
                  <w:r>
                    <w:rPr>
                      <w:rFonts w:hint="eastAsia"/>
                      <w:color w:val="auto"/>
                    </w:rPr>
                    <w:t>NH</w:t>
                  </w:r>
                  <w:r>
                    <w:rPr>
                      <w:rFonts w:hint="eastAsia"/>
                      <w:color w:val="auto"/>
                      <w:vertAlign w:val="subscript"/>
                    </w:rPr>
                    <w:t>3</w:t>
                  </w:r>
                </w:p>
              </w:tc>
              <w:tc>
                <w:tcPr>
                  <w:tcW w:w="1536" w:type="dxa"/>
                  <w:vAlign w:val="center"/>
                </w:tcPr>
                <w:p>
                  <w:pPr>
                    <w:jc w:val="center"/>
                    <w:rPr>
                      <w:color w:val="auto"/>
                    </w:rPr>
                  </w:pPr>
                  <w:r>
                    <w:rPr>
                      <w:color w:val="auto"/>
                    </w:rPr>
                    <w:t>5.20/a</w:t>
                  </w:r>
                </w:p>
              </w:tc>
              <w:tc>
                <w:tcPr>
                  <w:tcW w:w="1576" w:type="dxa"/>
                  <w:vMerge w:val="continue"/>
                  <w:vAlign w:val="center"/>
                </w:tcPr>
                <w:p>
                  <w:pPr>
                    <w:jc w:val="left"/>
                    <w:rPr>
                      <w:color w:val="auto"/>
                    </w:rPr>
                  </w:pPr>
                </w:p>
              </w:tc>
              <w:tc>
                <w:tcPr>
                  <w:tcW w:w="1221" w:type="dxa"/>
                  <w:vAlign w:val="center"/>
                </w:tcPr>
                <w:p>
                  <w:pPr>
                    <w:jc w:val="center"/>
                    <w:rPr>
                      <w:color w:val="auto"/>
                    </w:rPr>
                  </w:pPr>
                  <w:r>
                    <w:rPr>
                      <w:color w:val="auto"/>
                    </w:rPr>
                    <w:t>5.20t/a</w:t>
                  </w:r>
                </w:p>
              </w:tc>
              <w:tc>
                <w:tcPr>
                  <w:tcW w:w="2592"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 w:type="dxa"/>
                  <w:vMerge w:val="continue"/>
                  <w:tcMar>
                    <w:left w:w="11" w:type="dxa"/>
                    <w:right w:w="11" w:type="dxa"/>
                  </w:tcMar>
                  <w:vAlign w:val="center"/>
                </w:tcPr>
                <w:p>
                  <w:pPr>
                    <w:jc w:val="center"/>
                    <w:rPr>
                      <w:color w:val="auto"/>
                    </w:rPr>
                  </w:pPr>
                </w:p>
              </w:tc>
              <w:tc>
                <w:tcPr>
                  <w:tcW w:w="945" w:type="dxa"/>
                  <w:vAlign w:val="center"/>
                </w:tcPr>
                <w:p>
                  <w:pPr>
                    <w:jc w:val="center"/>
                    <w:rPr>
                      <w:color w:val="auto"/>
                    </w:rPr>
                  </w:pPr>
                  <w:r>
                    <w:rPr>
                      <w:rFonts w:hint="eastAsia"/>
                      <w:color w:val="auto"/>
                    </w:rPr>
                    <w:t>无组织氨气</w:t>
                  </w:r>
                </w:p>
              </w:tc>
              <w:tc>
                <w:tcPr>
                  <w:tcW w:w="996" w:type="dxa"/>
                  <w:vAlign w:val="center"/>
                </w:tcPr>
                <w:p>
                  <w:pPr>
                    <w:jc w:val="center"/>
                    <w:rPr>
                      <w:color w:val="auto"/>
                    </w:rPr>
                  </w:pPr>
                  <w:r>
                    <w:rPr>
                      <w:rFonts w:hint="eastAsia"/>
                      <w:color w:val="auto"/>
                    </w:rPr>
                    <w:t>NH</w:t>
                  </w:r>
                  <w:r>
                    <w:rPr>
                      <w:rFonts w:hint="eastAsia"/>
                      <w:color w:val="auto"/>
                      <w:vertAlign w:val="subscript"/>
                    </w:rPr>
                    <w:t>3</w:t>
                  </w:r>
                </w:p>
              </w:tc>
              <w:tc>
                <w:tcPr>
                  <w:tcW w:w="1536" w:type="dxa"/>
                  <w:vAlign w:val="center"/>
                </w:tcPr>
                <w:p>
                  <w:pPr>
                    <w:jc w:val="center"/>
                    <w:rPr>
                      <w:color w:val="auto"/>
                    </w:rPr>
                  </w:pPr>
                  <w:r>
                    <w:rPr>
                      <w:rFonts w:hint="eastAsia"/>
                      <w:color w:val="auto"/>
                    </w:rPr>
                    <w:t>0</w:t>
                  </w:r>
                  <w:r>
                    <w:rPr>
                      <w:color w:val="auto"/>
                    </w:rPr>
                    <w:t>.</w:t>
                  </w:r>
                  <w:r>
                    <w:rPr>
                      <w:rFonts w:hint="eastAsia"/>
                      <w:color w:val="auto"/>
                    </w:rPr>
                    <w:t>18</w:t>
                  </w:r>
                  <w:r>
                    <w:rPr>
                      <w:color w:val="auto"/>
                    </w:rPr>
                    <w:t>5</w:t>
                  </w:r>
                  <w:r>
                    <w:rPr>
                      <w:rFonts w:hint="eastAsia"/>
                      <w:color w:val="auto"/>
                    </w:rPr>
                    <w:t>t</w:t>
                  </w:r>
                  <w:r>
                    <w:rPr>
                      <w:color w:val="auto"/>
                    </w:rPr>
                    <w:t>/a</w:t>
                  </w:r>
                </w:p>
              </w:tc>
              <w:tc>
                <w:tcPr>
                  <w:tcW w:w="1576" w:type="dxa"/>
                  <w:vAlign w:val="center"/>
                </w:tcPr>
                <w:p>
                  <w:pPr>
                    <w:jc w:val="left"/>
                    <w:rPr>
                      <w:color w:val="auto"/>
                    </w:rPr>
                  </w:pPr>
                  <w:r>
                    <w:rPr>
                      <w:rFonts w:hint="eastAsia"/>
                      <w:color w:val="auto"/>
                    </w:rPr>
                    <w:t>/</w:t>
                  </w:r>
                </w:p>
              </w:tc>
              <w:tc>
                <w:tcPr>
                  <w:tcW w:w="1221" w:type="dxa"/>
                  <w:vAlign w:val="center"/>
                </w:tcPr>
                <w:p>
                  <w:pPr>
                    <w:jc w:val="center"/>
                    <w:rPr>
                      <w:color w:val="auto"/>
                    </w:rPr>
                  </w:pPr>
                  <w:r>
                    <w:rPr>
                      <w:rFonts w:hint="eastAsia"/>
                      <w:color w:val="auto"/>
                    </w:rPr>
                    <w:t>0</w:t>
                  </w:r>
                  <w:r>
                    <w:rPr>
                      <w:color w:val="auto"/>
                    </w:rPr>
                    <w:t>.</w:t>
                  </w:r>
                  <w:r>
                    <w:rPr>
                      <w:rFonts w:hint="eastAsia"/>
                      <w:color w:val="auto"/>
                    </w:rPr>
                    <w:t>18</w:t>
                  </w:r>
                  <w:r>
                    <w:rPr>
                      <w:color w:val="auto"/>
                    </w:rPr>
                    <w:t>5</w:t>
                  </w:r>
                  <w:r>
                    <w:rPr>
                      <w:rFonts w:hint="eastAsia"/>
                      <w:color w:val="auto"/>
                    </w:rPr>
                    <w:t>t</w:t>
                  </w:r>
                  <w:r>
                    <w:rPr>
                      <w:color w:val="auto"/>
                    </w:rPr>
                    <w:t>/a</w:t>
                  </w:r>
                </w:p>
              </w:tc>
              <w:tc>
                <w:tcPr>
                  <w:tcW w:w="2592" w:type="dxa"/>
                  <w:vAlign w:val="center"/>
                </w:tcPr>
                <w:p>
                  <w:pPr>
                    <w:jc w:val="center"/>
                    <w:rPr>
                      <w:color w:val="auto"/>
                    </w:rPr>
                  </w:pPr>
                  <w:r>
                    <w:rPr>
                      <w:rFonts w:hint="eastAsia"/>
                      <w:color w:val="auto"/>
                    </w:rPr>
                    <w:t>《恶臭污染物排放标准》（G</w:t>
                  </w:r>
                  <w:r>
                    <w:rPr>
                      <w:color w:val="auto"/>
                    </w:rPr>
                    <w:t>B14554-93</w:t>
                  </w:r>
                  <w:r>
                    <w:rPr>
                      <w:rFonts w:hint="eastAsia"/>
                      <w:color w:val="auto"/>
                    </w:rPr>
                    <w:t>）</w:t>
                  </w:r>
                </w:p>
              </w:tc>
            </w:tr>
          </w:tbl>
          <w:p>
            <w:pPr>
              <w:spacing w:before="156" w:beforeLines="50" w:line="360" w:lineRule="auto"/>
              <w:ind w:firstLine="482" w:firstLineChars="200"/>
              <w:rPr>
                <w:b/>
                <w:bCs/>
                <w:color w:val="auto"/>
                <w:sz w:val="24"/>
                <w:szCs w:val="24"/>
              </w:rPr>
            </w:pPr>
            <w:r>
              <w:rPr>
                <w:rFonts w:hint="eastAsia"/>
                <w:b/>
                <w:bCs/>
                <w:color w:val="auto"/>
                <w:sz w:val="24"/>
                <w:szCs w:val="24"/>
              </w:rPr>
              <w:t>七</w:t>
            </w:r>
            <w:r>
              <w:rPr>
                <w:b/>
                <w:bCs/>
                <w:color w:val="auto"/>
                <w:sz w:val="24"/>
                <w:szCs w:val="24"/>
              </w:rPr>
              <w:t>、</w:t>
            </w:r>
            <w:r>
              <w:rPr>
                <w:rFonts w:hint="eastAsia"/>
                <w:b/>
                <w:bCs/>
                <w:color w:val="auto"/>
                <w:sz w:val="24"/>
                <w:szCs w:val="24"/>
              </w:rPr>
              <w:t>竣工</w:t>
            </w:r>
            <w:r>
              <w:rPr>
                <w:b/>
                <w:bCs/>
                <w:color w:val="auto"/>
                <w:sz w:val="24"/>
                <w:szCs w:val="24"/>
              </w:rPr>
              <w:t>环保验收清单</w:t>
            </w:r>
          </w:p>
          <w:p>
            <w:pPr>
              <w:adjustRightInd w:val="0"/>
              <w:snapToGrid w:val="0"/>
              <w:spacing w:line="360" w:lineRule="auto"/>
              <w:ind w:firstLine="480" w:firstLineChars="200"/>
              <w:rPr>
                <w:color w:val="auto"/>
                <w:sz w:val="24"/>
                <w:szCs w:val="24"/>
              </w:rPr>
            </w:pPr>
            <w:r>
              <w:rPr>
                <w:color w:val="auto"/>
                <w:sz w:val="24"/>
                <w:szCs w:val="24"/>
              </w:rPr>
              <w:t>建设项目环境保护设施竣工验收清单（建议）见表35。</w:t>
            </w:r>
          </w:p>
          <w:p>
            <w:pPr>
              <w:adjustRightInd w:val="0"/>
              <w:snapToGrid w:val="0"/>
              <w:spacing w:line="360" w:lineRule="auto"/>
              <w:jc w:val="center"/>
              <w:rPr>
                <w:b/>
                <w:bCs/>
                <w:color w:val="auto"/>
                <w:sz w:val="28"/>
                <w:szCs w:val="28"/>
              </w:rPr>
            </w:pPr>
            <w:r>
              <w:rPr>
                <w:b/>
                <w:bCs/>
                <w:color w:val="auto"/>
                <w:sz w:val="24"/>
                <w:szCs w:val="24"/>
              </w:rPr>
              <w:t>表35</w:t>
            </w:r>
            <w:r>
              <w:rPr>
                <w:rFonts w:hint="eastAsia"/>
                <w:b/>
                <w:bCs/>
                <w:color w:val="auto"/>
                <w:sz w:val="24"/>
                <w:szCs w:val="24"/>
              </w:rPr>
              <w:t xml:space="preserve">   </w:t>
            </w:r>
            <w:r>
              <w:rPr>
                <w:b/>
                <w:bCs/>
                <w:color w:val="auto"/>
                <w:sz w:val="24"/>
                <w:szCs w:val="24"/>
              </w:rPr>
              <w:t>项目环保设施竣工验收清单一览表（建议）</w:t>
            </w:r>
          </w:p>
          <w:tbl>
            <w:tblPr>
              <w:tblStyle w:val="26"/>
              <w:tblpPr w:leftFromText="180" w:rightFromText="180" w:vertAnchor="text" w:horzAnchor="margin" w:tblpXSpec="center" w:tblpY="57"/>
              <w:tblOverlap w:val="never"/>
              <w:tblW w:w="909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
            <w:tblGrid>
              <w:gridCol w:w="385"/>
              <w:gridCol w:w="710"/>
              <w:gridCol w:w="1752"/>
              <w:gridCol w:w="528"/>
              <w:gridCol w:w="870"/>
              <w:gridCol w:w="1985"/>
              <w:gridCol w:w="286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cantSplit/>
                <w:trHeight w:val="248" w:hRule="atLeast"/>
              </w:trPr>
              <w:tc>
                <w:tcPr>
                  <w:tcW w:w="385" w:type="dxa"/>
                  <w:tcBorders>
                    <w:top w:val="single" w:color="auto" w:sz="4"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类别</w:t>
                  </w:r>
                </w:p>
              </w:tc>
              <w:tc>
                <w:tcPr>
                  <w:tcW w:w="710" w:type="dxa"/>
                  <w:tcBorders>
                    <w:top w:val="single" w:color="auto" w:sz="4"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来源</w:t>
                  </w:r>
                </w:p>
              </w:tc>
              <w:tc>
                <w:tcPr>
                  <w:tcW w:w="1752" w:type="dxa"/>
                  <w:tcBorders>
                    <w:top w:val="single" w:color="auto" w:sz="4" w:space="0"/>
                    <w:left w:val="single" w:color="auto" w:sz="6" w:space="0"/>
                    <w:bottom w:val="single" w:color="auto" w:sz="6" w:space="0"/>
                    <w:right w:val="single" w:color="auto" w:sz="6" w:space="0"/>
                  </w:tcBorders>
                  <w:tcMar>
                    <w:left w:w="28" w:type="dxa"/>
                    <w:right w:w="28" w:type="dxa"/>
                  </w:tcMar>
                  <w:vAlign w:val="center"/>
                </w:tcPr>
                <w:p>
                  <w:pPr>
                    <w:adjustRightInd w:val="0"/>
                    <w:snapToGrid w:val="0"/>
                    <w:rPr>
                      <w:color w:val="auto"/>
                    </w:rPr>
                  </w:pPr>
                  <w:r>
                    <w:rPr>
                      <w:color w:val="auto"/>
                    </w:rPr>
                    <w:t>环保设施</w:t>
                  </w:r>
                  <w:r>
                    <w:rPr>
                      <w:rFonts w:hint="eastAsia"/>
                      <w:color w:val="auto"/>
                    </w:rPr>
                    <w:t>（</w:t>
                  </w:r>
                  <w:r>
                    <w:rPr>
                      <w:color w:val="auto"/>
                    </w:rPr>
                    <w:t>措施</w:t>
                  </w:r>
                  <w:r>
                    <w:rPr>
                      <w:rFonts w:hint="eastAsia"/>
                      <w:color w:val="auto"/>
                    </w:rPr>
                    <w:t>）</w:t>
                  </w:r>
                </w:p>
              </w:tc>
              <w:tc>
                <w:tcPr>
                  <w:tcW w:w="528" w:type="dxa"/>
                  <w:tcBorders>
                    <w:top w:val="single" w:color="auto" w:sz="4" w:space="0"/>
                    <w:left w:val="single" w:color="auto" w:sz="6" w:space="0"/>
                    <w:bottom w:val="single" w:color="auto" w:sz="6" w:space="0"/>
                    <w:right w:val="single" w:color="auto" w:sz="6" w:space="0"/>
                  </w:tcBorders>
                  <w:tcMar>
                    <w:left w:w="28" w:type="dxa"/>
                    <w:right w:w="28" w:type="dxa"/>
                  </w:tcMar>
                  <w:vAlign w:val="center"/>
                </w:tcPr>
                <w:p>
                  <w:pPr>
                    <w:adjustRightInd w:val="0"/>
                    <w:snapToGrid w:val="0"/>
                    <w:rPr>
                      <w:color w:val="auto"/>
                    </w:rPr>
                  </w:pPr>
                  <w:r>
                    <w:rPr>
                      <w:rFonts w:hint="eastAsia"/>
                      <w:color w:val="auto"/>
                    </w:rPr>
                    <w:t>数量</w:t>
                  </w:r>
                </w:p>
              </w:tc>
              <w:tc>
                <w:tcPr>
                  <w:tcW w:w="870" w:type="dxa"/>
                  <w:tcBorders>
                    <w:top w:val="single" w:color="auto" w:sz="4"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规模</w:t>
                  </w:r>
                </w:p>
              </w:tc>
              <w:tc>
                <w:tcPr>
                  <w:tcW w:w="1985" w:type="dxa"/>
                  <w:tcBorders>
                    <w:top w:val="single" w:color="auto" w:sz="4"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效果</w:t>
                  </w:r>
                </w:p>
              </w:tc>
              <w:tc>
                <w:tcPr>
                  <w:tcW w:w="2868" w:type="dxa"/>
                  <w:tcBorders>
                    <w:top w:val="single" w:color="auto" w:sz="4" w:space="0"/>
                    <w:left w:val="single" w:color="auto" w:sz="6" w:space="0"/>
                    <w:bottom w:val="single" w:color="auto" w:sz="6" w:space="0"/>
                    <w:right w:val="single" w:color="auto" w:sz="4" w:space="0"/>
                  </w:tcBorders>
                  <w:tcMar>
                    <w:left w:w="28" w:type="dxa"/>
                    <w:right w:w="28" w:type="dxa"/>
                  </w:tcMar>
                  <w:vAlign w:val="center"/>
                </w:tcPr>
                <w:p>
                  <w:pPr>
                    <w:adjustRightInd w:val="0"/>
                    <w:snapToGrid w:val="0"/>
                    <w:ind w:firstLine="420"/>
                    <w:jc w:val="center"/>
                    <w:rPr>
                      <w:color w:val="auto"/>
                    </w:rPr>
                  </w:pPr>
                  <w:r>
                    <w:rPr>
                      <w:color w:val="auto"/>
                    </w:rPr>
                    <w:t>验收标准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cantSplit/>
                <w:trHeight w:val="325" w:hRule="atLeast"/>
              </w:trPr>
              <w:tc>
                <w:tcPr>
                  <w:tcW w:w="385" w:type="dxa"/>
                  <w:vMerge w:val="restart"/>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color w:val="auto"/>
                    </w:rPr>
                    <w:t>废气</w:t>
                  </w:r>
                </w:p>
              </w:tc>
              <w:tc>
                <w:tcPr>
                  <w:tcW w:w="710" w:type="dxa"/>
                  <w:vMerge w:val="restart"/>
                  <w:tcBorders>
                    <w:top w:val="single" w:color="auto" w:sz="6" w:space="0"/>
                    <w:left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1#~</w:t>
                  </w:r>
                  <w:r>
                    <w:rPr>
                      <w:color w:val="auto"/>
                    </w:rPr>
                    <w:t>5</w:t>
                  </w:r>
                  <w:r>
                    <w:rPr>
                      <w:rFonts w:hint="eastAsia"/>
                      <w:color w:val="auto"/>
                    </w:rPr>
                    <w:t>#锅炉</w:t>
                  </w:r>
                </w:p>
              </w:tc>
              <w:tc>
                <w:tcPr>
                  <w:tcW w:w="1752"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rPr>
                      <w:color w:val="auto"/>
                    </w:rPr>
                  </w:pPr>
                  <w:r>
                    <w:rPr>
                      <w:rFonts w:hint="eastAsia"/>
                      <w:color w:val="auto"/>
                    </w:rPr>
                    <w:t>低氮燃烧+氨法脱硫+袋式除尘器+80m烟囱</w:t>
                  </w:r>
                </w:p>
              </w:tc>
              <w:tc>
                <w:tcPr>
                  <w:tcW w:w="528"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rPr>
                      <w:color w:val="auto"/>
                    </w:rPr>
                  </w:pPr>
                  <w:r>
                    <w:rPr>
                      <w:rFonts w:hint="eastAsia"/>
                      <w:color w:val="auto"/>
                    </w:rPr>
                    <w:t>3套</w:t>
                  </w:r>
                </w:p>
              </w:tc>
              <w:tc>
                <w:tcPr>
                  <w:tcW w:w="870"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580851</w:t>
                  </w:r>
                </w:p>
                <w:p>
                  <w:pPr>
                    <w:adjustRightInd w:val="0"/>
                    <w:snapToGrid w:val="0"/>
                    <w:jc w:val="center"/>
                    <w:rPr>
                      <w:color w:val="auto"/>
                    </w:rPr>
                  </w:pPr>
                  <w:r>
                    <w:rPr>
                      <w:rFonts w:hint="eastAsia"/>
                      <w:color w:val="auto"/>
                    </w:rPr>
                    <w:t>Nm</w:t>
                  </w:r>
                  <w:r>
                    <w:rPr>
                      <w:rFonts w:hint="eastAsia"/>
                      <w:color w:val="auto"/>
                      <w:vertAlign w:val="superscript"/>
                    </w:rPr>
                    <w:t>3</w:t>
                  </w:r>
                  <w:r>
                    <w:rPr>
                      <w:rFonts w:hint="eastAsia"/>
                      <w:color w:val="auto"/>
                    </w:rPr>
                    <w:t>/h</w:t>
                  </w:r>
                </w:p>
              </w:tc>
              <w:tc>
                <w:tcPr>
                  <w:tcW w:w="1985"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除尘效率≥9</w:t>
                  </w:r>
                  <w:r>
                    <w:rPr>
                      <w:color w:val="auto"/>
                    </w:rPr>
                    <w:t>9</w:t>
                  </w:r>
                  <w:r>
                    <w:rPr>
                      <w:rFonts w:hint="eastAsia"/>
                      <w:color w:val="auto"/>
                    </w:rPr>
                    <w:t>%；</w:t>
                  </w:r>
                </w:p>
                <w:p>
                  <w:pPr>
                    <w:adjustRightInd w:val="0"/>
                    <w:snapToGrid w:val="0"/>
                    <w:jc w:val="center"/>
                    <w:rPr>
                      <w:color w:val="auto"/>
                    </w:rPr>
                  </w:pPr>
                  <w:r>
                    <w:rPr>
                      <w:rFonts w:hint="eastAsia"/>
                      <w:color w:val="auto"/>
                    </w:rPr>
                    <w:t>脱硫效率≥8</w:t>
                  </w:r>
                  <w:r>
                    <w:rPr>
                      <w:color w:val="auto"/>
                    </w:rPr>
                    <w:t>0</w:t>
                  </w:r>
                  <w:r>
                    <w:rPr>
                      <w:rFonts w:hint="eastAsia"/>
                      <w:color w:val="auto"/>
                    </w:rPr>
                    <w:t>%；</w:t>
                  </w:r>
                </w:p>
              </w:tc>
              <w:tc>
                <w:tcPr>
                  <w:tcW w:w="2868" w:type="dxa"/>
                  <w:vMerge w:val="restart"/>
                  <w:tcBorders>
                    <w:top w:val="single" w:color="auto" w:sz="6" w:space="0"/>
                    <w:left w:val="single" w:color="auto" w:sz="6" w:space="0"/>
                    <w:right w:val="single" w:color="auto" w:sz="4" w:space="0"/>
                  </w:tcBorders>
                  <w:tcMar>
                    <w:left w:w="28" w:type="dxa"/>
                    <w:right w:w="28" w:type="dxa"/>
                  </w:tcMar>
                  <w:vAlign w:val="center"/>
                </w:tcPr>
                <w:p>
                  <w:pPr>
                    <w:adjustRightInd w:val="0"/>
                    <w:snapToGrid w:val="0"/>
                    <w:rPr>
                      <w:color w:val="auto"/>
                    </w:rPr>
                  </w:pPr>
                  <w:r>
                    <w:rPr>
                      <w:rFonts w:hint="eastAsia"/>
                      <w:color w:val="auto"/>
                    </w:rPr>
                    <w:t>《关中地区重点行业大气污染物排放限值》（DB61/941-2014）标准限值；《火电厂大气污染物排放标准》（GB13223-2011）标准限值</w:t>
                  </w:r>
                  <w:r>
                    <w:rPr>
                      <w:color w:val="auto"/>
                    </w:rPr>
                    <w:t>；</w:t>
                  </w:r>
                  <w:r>
                    <w:rPr>
                      <w:rFonts w:hint="eastAsia"/>
                      <w:color w:val="auto"/>
                    </w:rPr>
                    <w:t>《氨法烟气脱硫工程通用技术规范》（H</w:t>
                  </w:r>
                  <w:r>
                    <w:rPr>
                      <w:color w:val="auto"/>
                    </w:rPr>
                    <w:t>J2001-2018</w:t>
                  </w:r>
                  <w:r>
                    <w:rPr>
                      <w:rFonts w:hint="eastAsia"/>
                      <w:color w:val="auto"/>
                    </w:rPr>
                    <w:t>）相关规定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cantSplit/>
                <w:trHeight w:val="167" w:hRule="atLeast"/>
              </w:trPr>
              <w:tc>
                <w:tcPr>
                  <w:tcW w:w="385" w:type="dxa"/>
                  <w:vMerge w:val="continue"/>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p>
              </w:tc>
              <w:tc>
                <w:tcPr>
                  <w:tcW w:w="710" w:type="dxa"/>
                  <w:vMerge w:val="continue"/>
                  <w:tcBorders>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p>
              </w:tc>
              <w:tc>
                <w:tcPr>
                  <w:tcW w:w="1752"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rPr>
                      <w:color w:val="auto"/>
                    </w:rPr>
                  </w:pPr>
                  <w:r>
                    <w:rPr>
                      <w:rFonts w:hint="eastAsia"/>
                      <w:color w:val="auto"/>
                    </w:rPr>
                    <w:t>烟气在线监测系统</w:t>
                  </w:r>
                </w:p>
              </w:tc>
              <w:tc>
                <w:tcPr>
                  <w:tcW w:w="528"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rPr>
                      <w:color w:val="auto"/>
                    </w:rPr>
                  </w:pPr>
                  <w:r>
                    <w:rPr>
                      <w:rFonts w:hint="eastAsia"/>
                      <w:color w:val="auto"/>
                    </w:rPr>
                    <w:t>3套</w:t>
                  </w:r>
                </w:p>
              </w:tc>
              <w:tc>
                <w:tcPr>
                  <w:tcW w:w="870"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w:t>
                  </w:r>
                </w:p>
              </w:tc>
              <w:tc>
                <w:tcPr>
                  <w:tcW w:w="1985"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color w:val="auto"/>
                    </w:rPr>
                    <w:t>/</w:t>
                  </w:r>
                </w:p>
              </w:tc>
              <w:tc>
                <w:tcPr>
                  <w:tcW w:w="2868" w:type="dxa"/>
                  <w:vMerge w:val="continue"/>
                  <w:tcBorders>
                    <w:left w:val="single" w:color="auto" w:sz="6" w:space="0"/>
                    <w:bottom w:val="single" w:color="auto" w:sz="6" w:space="0"/>
                    <w:right w:val="single" w:color="auto" w:sz="4" w:space="0"/>
                  </w:tcBorders>
                  <w:tcMar>
                    <w:left w:w="28" w:type="dxa"/>
                    <w:right w:w="28" w:type="dxa"/>
                  </w:tcMar>
                  <w:vAlign w:val="center"/>
                </w:tcPr>
                <w:p>
                  <w:pPr>
                    <w:adjustRightInd w:val="0"/>
                    <w:snapToGrid w:val="0"/>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cantSplit/>
                <w:trHeight w:val="567" w:hRule="atLeast"/>
              </w:trPr>
              <w:tc>
                <w:tcPr>
                  <w:tcW w:w="385" w:type="dxa"/>
                  <w:vMerge w:val="continue"/>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p>
              </w:tc>
              <w:tc>
                <w:tcPr>
                  <w:tcW w:w="710"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厂界无组织废气</w:t>
                  </w:r>
                </w:p>
              </w:tc>
              <w:tc>
                <w:tcPr>
                  <w:tcW w:w="1752"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w:t>
                  </w:r>
                </w:p>
              </w:tc>
              <w:tc>
                <w:tcPr>
                  <w:tcW w:w="528"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rPr>
                      <w:color w:val="auto"/>
                    </w:rPr>
                  </w:pPr>
                  <w:r>
                    <w:rPr>
                      <w:rFonts w:hint="eastAsia"/>
                      <w:color w:val="auto"/>
                    </w:rPr>
                    <w:t>/</w:t>
                  </w:r>
                </w:p>
              </w:tc>
              <w:tc>
                <w:tcPr>
                  <w:tcW w:w="870"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w:t>
                  </w:r>
                </w:p>
              </w:tc>
              <w:tc>
                <w:tcPr>
                  <w:tcW w:w="1985"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厂界达标</w:t>
                  </w:r>
                </w:p>
              </w:tc>
              <w:tc>
                <w:tcPr>
                  <w:tcW w:w="2868" w:type="dxa"/>
                  <w:tcBorders>
                    <w:top w:val="single" w:color="auto" w:sz="6" w:space="0"/>
                    <w:left w:val="single" w:color="auto" w:sz="6" w:space="0"/>
                    <w:bottom w:val="single" w:color="auto" w:sz="6" w:space="0"/>
                    <w:right w:val="single" w:color="auto" w:sz="4" w:space="0"/>
                  </w:tcBorders>
                  <w:tcMar>
                    <w:left w:w="28" w:type="dxa"/>
                    <w:right w:w="28" w:type="dxa"/>
                  </w:tcMar>
                  <w:vAlign w:val="center"/>
                </w:tcPr>
                <w:p>
                  <w:pPr>
                    <w:adjustRightInd w:val="0"/>
                    <w:snapToGrid w:val="0"/>
                    <w:rPr>
                      <w:color w:val="auto"/>
                    </w:rPr>
                  </w:pPr>
                  <w:r>
                    <w:rPr>
                      <w:rFonts w:hint="eastAsia"/>
                      <w:color w:val="auto"/>
                    </w:rPr>
                    <w:t>《大气污染物综合排放标准》（GB16297-1996）、《恶臭污染物排放标准》（GB14554-93）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cantSplit/>
                <w:trHeight w:val="480" w:hRule="atLeast"/>
              </w:trPr>
              <w:tc>
                <w:tcPr>
                  <w:tcW w:w="385"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color w:val="auto"/>
                    </w:rPr>
                    <w:t>噪声</w:t>
                  </w:r>
                </w:p>
              </w:tc>
              <w:tc>
                <w:tcPr>
                  <w:tcW w:w="710"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空压机、吸收塔、清水泵、卸氨泵等</w:t>
                  </w:r>
                </w:p>
              </w:tc>
              <w:tc>
                <w:tcPr>
                  <w:tcW w:w="1752"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color w:val="auto"/>
                    </w:rPr>
                    <w:t>选用低噪设备，减震安装</w:t>
                  </w:r>
                </w:p>
              </w:tc>
              <w:tc>
                <w:tcPr>
                  <w:tcW w:w="528"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rPr>
                      <w:color w:val="auto"/>
                    </w:rPr>
                  </w:pPr>
                  <w:r>
                    <w:rPr>
                      <w:rFonts w:hint="eastAsia"/>
                      <w:color w:val="auto"/>
                    </w:rPr>
                    <w:t>若干</w:t>
                  </w:r>
                </w:p>
              </w:tc>
              <w:tc>
                <w:tcPr>
                  <w:tcW w:w="870"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w:t>
                  </w:r>
                </w:p>
              </w:tc>
              <w:tc>
                <w:tcPr>
                  <w:tcW w:w="1985"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厂界达标</w:t>
                  </w:r>
                </w:p>
              </w:tc>
              <w:tc>
                <w:tcPr>
                  <w:tcW w:w="2868" w:type="dxa"/>
                  <w:tcBorders>
                    <w:top w:val="single" w:color="auto" w:sz="6" w:space="0"/>
                    <w:left w:val="single" w:color="auto" w:sz="6" w:space="0"/>
                    <w:bottom w:val="single" w:color="auto" w:sz="6" w:space="0"/>
                    <w:right w:val="single" w:color="auto" w:sz="4" w:space="0"/>
                  </w:tcBorders>
                  <w:tcMar>
                    <w:left w:w="28" w:type="dxa"/>
                    <w:right w:w="28" w:type="dxa"/>
                  </w:tcMar>
                  <w:vAlign w:val="center"/>
                </w:tcPr>
                <w:p>
                  <w:pPr>
                    <w:adjustRightInd w:val="0"/>
                    <w:snapToGrid w:val="0"/>
                    <w:rPr>
                      <w:color w:val="auto"/>
                    </w:rPr>
                  </w:pPr>
                  <w:r>
                    <w:rPr>
                      <w:color w:val="auto"/>
                    </w:rPr>
                    <w:t>《工业企业厂界环境噪声排放标准》（GB12348-2008）中</w:t>
                  </w:r>
                  <w:r>
                    <w:rPr>
                      <w:rFonts w:hint="eastAsia"/>
                      <w:color w:val="auto"/>
                    </w:rPr>
                    <w:t>3</w:t>
                  </w:r>
                  <w:r>
                    <w:rPr>
                      <w:color w:val="auto"/>
                    </w:rPr>
                    <w:t>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cantSplit/>
                <w:trHeight w:val="480" w:hRule="atLeast"/>
              </w:trPr>
              <w:tc>
                <w:tcPr>
                  <w:tcW w:w="385"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风险</w:t>
                  </w:r>
                </w:p>
              </w:tc>
              <w:tc>
                <w:tcPr>
                  <w:tcW w:w="710"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氨罐区</w:t>
                  </w:r>
                </w:p>
              </w:tc>
              <w:tc>
                <w:tcPr>
                  <w:tcW w:w="1752"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事故水池</w:t>
                  </w:r>
                </w:p>
              </w:tc>
              <w:tc>
                <w:tcPr>
                  <w:tcW w:w="528"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rPr>
                      <w:color w:val="auto"/>
                    </w:rPr>
                  </w:pPr>
                  <w:r>
                    <w:rPr>
                      <w:rFonts w:hint="eastAsia"/>
                      <w:color w:val="auto"/>
                    </w:rPr>
                    <w:t>2座</w:t>
                  </w:r>
                </w:p>
              </w:tc>
              <w:tc>
                <w:tcPr>
                  <w:tcW w:w="870"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5</w:t>
                  </w:r>
                  <w:r>
                    <w:rPr>
                      <w:color w:val="auto"/>
                    </w:rPr>
                    <w:t>0</w:t>
                  </w:r>
                  <w:r>
                    <w:rPr>
                      <w:rFonts w:hint="eastAsia"/>
                      <w:color w:val="auto"/>
                    </w:rPr>
                    <w:t>m</w:t>
                  </w:r>
                  <w:r>
                    <w:rPr>
                      <w:color w:val="auto"/>
                      <w:vertAlign w:val="superscript"/>
                    </w:rPr>
                    <w:t>3</w:t>
                  </w:r>
                </w:p>
              </w:tc>
              <w:tc>
                <w:tcPr>
                  <w:tcW w:w="1985"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w:t>
                  </w:r>
                </w:p>
              </w:tc>
              <w:tc>
                <w:tcPr>
                  <w:tcW w:w="2868" w:type="dxa"/>
                  <w:tcBorders>
                    <w:top w:val="single" w:color="auto" w:sz="6" w:space="0"/>
                    <w:left w:val="single" w:color="auto" w:sz="6" w:space="0"/>
                    <w:bottom w:val="single" w:color="auto" w:sz="6" w:space="0"/>
                    <w:right w:val="single" w:color="auto" w:sz="4" w:space="0"/>
                  </w:tcBorders>
                  <w:tcMar>
                    <w:left w:w="28" w:type="dxa"/>
                    <w:right w:w="28" w:type="dxa"/>
                  </w:tcMar>
                  <w:vAlign w:val="center"/>
                </w:tcPr>
                <w:p>
                  <w:pPr>
                    <w:adjustRightInd w:val="0"/>
                    <w:snapToGrid w:val="0"/>
                    <w:rPr>
                      <w:color w:val="auto"/>
                    </w:rPr>
                  </w:pPr>
                  <w:r>
                    <w:rPr>
                      <w:rFonts w:hint="eastAsia"/>
                      <w:color w:val="auto"/>
                    </w:rPr>
                    <w:t>事故污水不外排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cantSplit/>
                <w:trHeight w:val="664" w:hRule="atLeast"/>
              </w:trPr>
              <w:tc>
                <w:tcPr>
                  <w:tcW w:w="1095" w:type="dxa"/>
                  <w:gridSpan w:val="2"/>
                  <w:tcBorders>
                    <w:top w:val="single" w:color="auto" w:sz="6" w:space="0"/>
                    <w:left w:val="single" w:color="auto" w:sz="6" w:space="0"/>
                    <w:bottom w:val="single" w:color="auto" w:sz="6" w:space="0"/>
                    <w:right w:val="single" w:color="auto" w:sz="6" w:space="0"/>
                  </w:tcBorders>
                  <w:tcMar>
                    <w:left w:w="28" w:type="dxa"/>
                    <w:right w:w="28" w:type="dxa"/>
                  </w:tcMar>
                  <w:vAlign w:val="center"/>
                </w:tcPr>
                <w:p>
                  <w:pPr>
                    <w:adjustRightInd w:val="0"/>
                    <w:snapToGrid w:val="0"/>
                    <w:jc w:val="center"/>
                    <w:rPr>
                      <w:color w:val="auto"/>
                    </w:rPr>
                  </w:pPr>
                  <w:r>
                    <w:rPr>
                      <w:rFonts w:hint="eastAsia"/>
                      <w:color w:val="auto"/>
                    </w:rPr>
                    <w:t>环境管理</w:t>
                  </w:r>
                </w:p>
              </w:tc>
              <w:tc>
                <w:tcPr>
                  <w:tcW w:w="8003" w:type="dxa"/>
                  <w:gridSpan w:val="5"/>
                  <w:tcBorders>
                    <w:top w:val="single" w:color="auto" w:sz="6" w:space="0"/>
                    <w:left w:val="single" w:color="auto" w:sz="6" w:space="0"/>
                    <w:bottom w:val="single" w:color="auto" w:sz="6" w:space="0"/>
                    <w:right w:val="single" w:color="auto" w:sz="4" w:space="0"/>
                  </w:tcBorders>
                  <w:tcMar>
                    <w:left w:w="28" w:type="dxa"/>
                    <w:right w:w="28" w:type="dxa"/>
                  </w:tcMar>
                  <w:vAlign w:val="center"/>
                </w:tcPr>
                <w:p>
                  <w:pPr>
                    <w:adjustRightInd w:val="0"/>
                    <w:snapToGrid w:val="0"/>
                    <w:jc w:val="center"/>
                    <w:rPr>
                      <w:color w:val="auto"/>
                    </w:rPr>
                  </w:pPr>
                  <w:r>
                    <w:rPr>
                      <w:rFonts w:hint="eastAsia"/>
                      <w:color w:val="auto"/>
                    </w:rPr>
                    <w:t>建立健全风险防范措施和应急预案</w:t>
                  </w:r>
                </w:p>
              </w:tc>
            </w:tr>
          </w:tbl>
          <w:p>
            <w:pPr>
              <w:spacing w:line="360" w:lineRule="auto"/>
              <w:ind w:firstLine="480" w:firstLineChars="200"/>
              <w:rPr>
                <w:color w:val="auto"/>
                <w:sz w:val="24"/>
                <w:szCs w:val="24"/>
              </w:rPr>
            </w:pPr>
          </w:p>
        </w:tc>
      </w:tr>
    </w:tbl>
    <w:p>
      <w:pPr>
        <w:outlineLvl w:val="0"/>
        <w:rPr>
          <w:rFonts w:eastAsia="黑体"/>
          <w:color w:val="auto"/>
          <w:sz w:val="30"/>
          <w:szCs w:val="30"/>
        </w:rPr>
        <w:sectPr>
          <w:pgSz w:w="11906" w:h="16838"/>
          <w:pgMar w:top="1588" w:right="1134" w:bottom="1361" w:left="1701" w:header="851" w:footer="907" w:gutter="0"/>
          <w:cols w:space="425" w:num="1"/>
          <w:docGrid w:type="lines" w:linePitch="312" w:charSpace="0"/>
        </w:sectPr>
      </w:pPr>
    </w:p>
    <w:p>
      <w:pPr>
        <w:outlineLvl w:val="0"/>
        <w:rPr>
          <w:rFonts w:eastAsia="黑体"/>
          <w:color w:val="auto"/>
          <w:sz w:val="30"/>
          <w:szCs w:val="30"/>
        </w:rPr>
      </w:pPr>
      <w:r>
        <w:rPr>
          <w:rFonts w:eastAsia="黑体"/>
          <w:color w:val="auto"/>
          <w:sz w:val="30"/>
          <w:szCs w:val="30"/>
        </w:rPr>
        <w:t>结论与建议</w:t>
      </w:r>
    </w:p>
    <w:tbl>
      <w:tblPr>
        <w:tblStyle w:val="26"/>
        <w:tblW w:w="9004" w:type="dxa"/>
        <w:jc w:val="center"/>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0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jc w:val="center"/>
        </w:trPr>
        <w:tc>
          <w:tcPr>
            <w:tcW w:w="9004" w:type="dxa"/>
          </w:tcPr>
          <w:p>
            <w:pPr>
              <w:spacing w:line="360" w:lineRule="auto"/>
              <w:ind w:firstLine="480" w:firstLineChars="200"/>
              <w:rPr>
                <w:color w:val="auto"/>
                <w:sz w:val="24"/>
                <w:szCs w:val="24"/>
              </w:rPr>
            </w:pPr>
          </w:p>
          <w:p>
            <w:pPr>
              <w:spacing w:line="360" w:lineRule="auto"/>
              <w:ind w:firstLine="482" w:firstLineChars="200"/>
              <w:rPr>
                <w:rFonts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1、工程概况</w:t>
            </w:r>
          </w:p>
          <w:p>
            <w:pPr>
              <w:spacing w:line="360" w:lineRule="auto"/>
              <w:ind w:firstLine="480"/>
              <w:rPr>
                <w:color w:val="auto"/>
                <w:sz w:val="24"/>
                <w:szCs w:val="24"/>
              </w:rPr>
            </w:pPr>
            <w:r>
              <w:rPr>
                <w:rFonts w:hint="eastAsia"/>
                <w:color w:val="auto"/>
                <w:sz w:val="24"/>
                <w:szCs w:val="24"/>
              </w:rPr>
              <w:t>陕西华富新能源有限公司五台燃气锅炉脱硫、除尘环保改造项目</w:t>
            </w:r>
            <w:r>
              <w:rPr>
                <w:color w:val="auto"/>
                <w:sz w:val="24"/>
                <w:szCs w:val="24"/>
              </w:rPr>
              <w:t>位于</w:t>
            </w:r>
            <w:r>
              <w:rPr>
                <w:rFonts w:hint="eastAsia"/>
                <w:color w:val="auto"/>
                <w:sz w:val="24"/>
                <w:szCs w:val="24"/>
              </w:rPr>
              <w:t>公司现有厂区，项目总投资</w:t>
            </w:r>
            <w:r>
              <w:rPr>
                <w:color w:val="auto"/>
                <w:sz w:val="24"/>
                <w:szCs w:val="24"/>
              </w:rPr>
              <w:t>3</w:t>
            </w:r>
            <w:r>
              <w:rPr>
                <w:rFonts w:hint="eastAsia"/>
                <w:color w:val="auto"/>
                <w:sz w:val="24"/>
                <w:szCs w:val="24"/>
              </w:rPr>
              <w:t>000万元；建设内容主要包括锅炉烟气氨法脱硫系统、除尘系统、供储氨系统及配套辅助设施，本项目已于2018年5月26日建成并投入运行。</w:t>
            </w:r>
          </w:p>
          <w:p>
            <w:pPr>
              <w:spacing w:line="360" w:lineRule="auto"/>
              <w:ind w:firstLine="482" w:firstLineChars="200"/>
              <w:rPr>
                <w:rFonts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2、相关政策及规划符合性</w:t>
            </w:r>
          </w:p>
          <w:p>
            <w:pPr>
              <w:tabs>
                <w:tab w:val="left" w:pos="624"/>
                <w:tab w:val="left" w:pos="705"/>
              </w:tabs>
              <w:spacing w:line="360" w:lineRule="auto"/>
              <w:ind w:firstLine="480" w:firstLineChars="200"/>
              <w:rPr>
                <w:color w:val="auto"/>
                <w:sz w:val="24"/>
                <w:szCs w:val="24"/>
              </w:rPr>
            </w:pPr>
            <w:r>
              <w:rPr>
                <w:color w:val="auto"/>
                <w:sz w:val="24"/>
                <w:szCs w:val="24"/>
              </w:rPr>
              <w:t>本项目属于《产业结构调整指导目录（2011年）》（2013修订本）鼓励类之“三十八、环境保护与资源节约综合利用—15.“三废”综合利用及治理工程”。同时，项目已取得</w:t>
            </w:r>
            <w:r>
              <w:rPr>
                <w:rFonts w:hint="eastAsia"/>
                <w:color w:val="auto"/>
                <w:sz w:val="24"/>
                <w:szCs w:val="24"/>
              </w:rPr>
              <w:t>韩城市发展和改革委员会</w:t>
            </w:r>
            <w:r>
              <w:rPr>
                <w:color w:val="auto"/>
                <w:sz w:val="24"/>
                <w:szCs w:val="24"/>
              </w:rPr>
              <w:t>备案批复文件（</w:t>
            </w:r>
            <w:r>
              <w:rPr>
                <w:rFonts w:hint="eastAsia"/>
                <w:color w:val="auto"/>
                <w:sz w:val="24"/>
                <w:szCs w:val="24"/>
              </w:rPr>
              <w:t>韩发改发</w:t>
            </w:r>
            <w:r>
              <w:rPr>
                <w:color w:val="auto"/>
                <w:sz w:val="24"/>
                <w:szCs w:val="24"/>
              </w:rPr>
              <w:t>[201</w:t>
            </w:r>
            <w:r>
              <w:rPr>
                <w:rFonts w:hint="eastAsia"/>
                <w:color w:val="auto"/>
                <w:sz w:val="24"/>
                <w:szCs w:val="24"/>
              </w:rPr>
              <w:t>7</w:t>
            </w:r>
            <w:r>
              <w:rPr>
                <w:color w:val="auto"/>
                <w:sz w:val="24"/>
                <w:szCs w:val="24"/>
              </w:rPr>
              <w:t>]2</w:t>
            </w:r>
            <w:r>
              <w:rPr>
                <w:rFonts w:hint="eastAsia"/>
                <w:color w:val="auto"/>
                <w:sz w:val="24"/>
                <w:szCs w:val="24"/>
              </w:rPr>
              <w:t>15</w:t>
            </w:r>
            <w:r>
              <w:rPr>
                <w:color w:val="auto"/>
                <w:sz w:val="24"/>
                <w:szCs w:val="24"/>
              </w:rPr>
              <w:t>号），项目建设符合国家及地方产业政策要求。</w:t>
            </w:r>
          </w:p>
          <w:p>
            <w:pPr>
              <w:tabs>
                <w:tab w:val="left" w:pos="624"/>
                <w:tab w:val="left" w:pos="705"/>
              </w:tabs>
              <w:spacing w:line="360" w:lineRule="auto"/>
              <w:ind w:firstLine="480" w:firstLineChars="200"/>
              <w:rPr>
                <w:color w:val="auto"/>
                <w:sz w:val="24"/>
                <w:szCs w:val="24"/>
              </w:rPr>
            </w:pPr>
            <w:r>
              <w:rPr>
                <w:rFonts w:hint="eastAsia"/>
                <w:color w:val="auto"/>
                <w:sz w:val="24"/>
                <w:szCs w:val="24"/>
              </w:rPr>
              <w:t>项目符合《打赢蓝天保卫战三年行动计划》（国发[2018]22号）、《陕西省铁腕治霾打赢蓝天保卫战三年行动方案（2018-2020年）》等环保政策及</w:t>
            </w:r>
            <w:r>
              <w:rPr>
                <w:rFonts w:hint="eastAsia"/>
                <w:color w:val="auto"/>
                <w:sz w:val="24"/>
              </w:rPr>
              <w:t>《韩城经济技术开发区总体规划》（</w:t>
            </w:r>
            <w:r>
              <w:rPr>
                <w:color w:val="auto"/>
                <w:sz w:val="24"/>
              </w:rPr>
              <w:t>2015-2030</w:t>
            </w:r>
            <w:r>
              <w:rPr>
                <w:rFonts w:hint="eastAsia"/>
                <w:color w:val="auto"/>
                <w:sz w:val="24"/>
              </w:rPr>
              <w:t>年）等相关规划。</w:t>
            </w:r>
          </w:p>
          <w:p>
            <w:pPr>
              <w:spacing w:line="360" w:lineRule="auto"/>
              <w:ind w:firstLine="482" w:firstLineChars="200"/>
              <w:rPr>
                <w:rFonts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3、环境质量现状结论</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1 \* GB2 </w:instrText>
            </w:r>
            <w:r>
              <w:rPr>
                <w:color w:val="auto"/>
                <w:sz w:val="24"/>
                <w:szCs w:val="24"/>
              </w:rPr>
              <w:fldChar w:fldCharType="separate"/>
            </w:r>
            <w:r>
              <w:rPr>
                <w:rFonts w:hint="eastAsia" w:ascii="宋体" w:hAnsi="宋体" w:cs="宋体"/>
                <w:color w:val="auto"/>
                <w:sz w:val="24"/>
                <w:szCs w:val="24"/>
              </w:rPr>
              <w:t>⑴</w:t>
            </w:r>
            <w:r>
              <w:rPr>
                <w:color w:val="auto"/>
                <w:sz w:val="24"/>
                <w:szCs w:val="24"/>
              </w:rPr>
              <w:fldChar w:fldCharType="end"/>
            </w:r>
            <w:r>
              <w:rPr>
                <w:color w:val="auto"/>
                <w:sz w:val="24"/>
                <w:szCs w:val="24"/>
              </w:rPr>
              <w:t>环境空气质量现状结论</w:t>
            </w:r>
          </w:p>
          <w:p>
            <w:pPr>
              <w:snapToGrid w:val="0"/>
              <w:spacing w:line="360" w:lineRule="auto"/>
              <w:ind w:firstLine="480" w:firstLineChars="200"/>
              <w:rPr>
                <w:color w:val="auto"/>
                <w:sz w:val="24"/>
                <w:szCs w:val="24"/>
              </w:rPr>
            </w:pPr>
            <w:r>
              <w:rPr>
                <w:color w:val="auto"/>
                <w:sz w:val="24"/>
                <w:szCs w:val="24"/>
              </w:rPr>
              <w:t>评价范围内SO</w:t>
            </w:r>
            <w:r>
              <w:rPr>
                <w:color w:val="auto"/>
                <w:sz w:val="24"/>
                <w:szCs w:val="24"/>
                <w:vertAlign w:val="subscript"/>
              </w:rPr>
              <w:t>2</w:t>
            </w:r>
            <w:r>
              <w:rPr>
                <w:rFonts w:hint="eastAsia"/>
                <w:color w:val="auto"/>
                <w:sz w:val="24"/>
                <w:szCs w:val="24"/>
              </w:rPr>
              <w:t>、</w:t>
            </w:r>
            <w:r>
              <w:rPr>
                <w:color w:val="auto"/>
                <w:sz w:val="24"/>
                <w:szCs w:val="24"/>
              </w:rPr>
              <w:t>NO</w:t>
            </w:r>
            <w:r>
              <w:rPr>
                <w:color w:val="auto"/>
                <w:sz w:val="24"/>
                <w:szCs w:val="24"/>
                <w:vertAlign w:val="subscript"/>
              </w:rPr>
              <w:t>2</w:t>
            </w:r>
            <w:r>
              <w:rPr>
                <w:color w:val="auto"/>
                <w:sz w:val="24"/>
                <w:szCs w:val="24"/>
              </w:rPr>
              <w:t>的1小时平均浓</w:t>
            </w:r>
            <w:r>
              <w:rPr>
                <w:rFonts w:hint="eastAsia"/>
                <w:color w:val="auto"/>
                <w:sz w:val="24"/>
                <w:szCs w:val="24"/>
              </w:rPr>
              <w:t>和24h平均浓度以及</w:t>
            </w:r>
            <w:r>
              <w:rPr>
                <w:color w:val="auto"/>
                <w:sz w:val="24"/>
                <w:szCs w:val="24"/>
              </w:rPr>
              <w:t>PM</w:t>
            </w:r>
            <w:r>
              <w:rPr>
                <w:color w:val="auto"/>
                <w:sz w:val="24"/>
                <w:szCs w:val="24"/>
                <w:vertAlign w:val="subscript"/>
              </w:rPr>
              <w:t>10</w:t>
            </w:r>
            <w:r>
              <w:rPr>
                <w:rFonts w:hint="eastAsia"/>
                <w:color w:val="auto"/>
                <w:sz w:val="24"/>
                <w:szCs w:val="24"/>
              </w:rPr>
              <w:t>、</w:t>
            </w:r>
            <w:r>
              <w:rPr>
                <w:color w:val="auto"/>
                <w:sz w:val="24"/>
                <w:szCs w:val="24"/>
              </w:rPr>
              <w:t>PM</w:t>
            </w:r>
            <w:r>
              <w:rPr>
                <w:rFonts w:hint="eastAsia"/>
                <w:color w:val="auto"/>
                <w:sz w:val="24"/>
                <w:szCs w:val="24"/>
                <w:vertAlign w:val="subscript"/>
              </w:rPr>
              <w:t>2.5</w:t>
            </w:r>
            <w:r>
              <w:rPr>
                <w:rFonts w:hint="eastAsia"/>
                <w:color w:val="auto"/>
                <w:sz w:val="24"/>
                <w:szCs w:val="24"/>
              </w:rPr>
              <w:t>的24小时平均浓度</w:t>
            </w:r>
            <w:r>
              <w:rPr>
                <w:color w:val="auto"/>
                <w:sz w:val="24"/>
                <w:szCs w:val="24"/>
              </w:rPr>
              <w:t>均符合《环境空气质量标准》（GB3095-2012）二级标准限值；NH</w:t>
            </w:r>
            <w:r>
              <w:rPr>
                <w:color w:val="auto"/>
                <w:sz w:val="24"/>
                <w:szCs w:val="24"/>
                <w:vertAlign w:val="subscript"/>
              </w:rPr>
              <w:t>3</w:t>
            </w:r>
            <w:r>
              <w:rPr>
                <w:color w:val="auto"/>
                <w:sz w:val="24"/>
                <w:szCs w:val="24"/>
              </w:rPr>
              <w:t>一次浓度监测值均符合《工业企业设计卫生标准》（TJ36-79）中居住区大气中有害物质最高容许浓度限值</w:t>
            </w:r>
            <w:r>
              <w:rPr>
                <w:rFonts w:hint="eastAsia"/>
                <w:color w:val="auto"/>
                <w:sz w:val="24"/>
                <w:szCs w:val="24"/>
              </w:rPr>
              <w:t>。</w:t>
            </w:r>
          </w:p>
          <w:p>
            <w:pPr>
              <w:snapToGrid w:val="0"/>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2 \* GB2 </w:instrText>
            </w:r>
            <w:r>
              <w:rPr>
                <w:color w:val="auto"/>
                <w:sz w:val="24"/>
                <w:szCs w:val="24"/>
              </w:rPr>
              <w:fldChar w:fldCharType="separate"/>
            </w:r>
            <w:r>
              <w:rPr>
                <w:rFonts w:hint="eastAsia" w:ascii="宋体" w:hAnsi="宋体" w:cs="宋体"/>
                <w:color w:val="auto"/>
                <w:sz w:val="24"/>
                <w:szCs w:val="24"/>
              </w:rPr>
              <w:t>⑵</w:t>
            </w:r>
            <w:r>
              <w:rPr>
                <w:color w:val="auto"/>
                <w:sz w:val="24"/>
                <w:szCs w:val="24"/>
              </w:rPr>
              <w:fldChar w:fldCharType="end"/>
            </w:r>
            <w:r>
              <w:rPr>
                <w:color w:val="auto"/>
                <w:sz w:val="24"/>
                <w:szCs w:val="24"/>
              </w:rPr>
              <w:t>声环境质量现状结论</w:t>
            </w:r>
          </w:p>
          <w:p>
            <w:pPr>
              <w:adjustRightInd w:val="0"/>
              <w:snapToGrid w:val="0"/>
              <w:spacing w:line="360" w:lineRule="auto"/>
              <w:ind w:firstLine="480" w:firstLineChars="200"/>
              <w:rPr>
                <w:color w:val="auto"/>
                <w:sz w:val="24"/>
                <w:szCs w:val="24"/>
              </w:rPr>
            </w:pPr>
            <w:r>
              <w:rPr>
                <w:color w:val="auto"/>
                <w:sz w:val="24"/>
                <w:szCs w:val="24"/>
              </w:rPr>
              <w:t>项目所在地声环境质量监测结果符合《声环境质量标准》（GB3096-2008）</w:t>
            </w:r>
            <w:r>
              <w:rPr>
                <w:rFonts w:hint="eastAsia"/>
                <w:color w:val="auto"/>
                <w:sz w:val="24"/>
                <w:szCs w:val="24"/>
              </w:rPr>
              <w:t>3</w:t>
            </w:r>
            <w:r>
              <w:rPr>
                <w:color w:val="auto"/>
                <w:sz w:val="24"/>
                <w:szCs w:val="24"/>
              </w:rPr>
              <w:t>类标准限值，当地声环境质量状况良好。</w:t>
            </w:r>
          </w:p>
          <w:p>
            <w:pPr>
              <w:spacing w:line="360" w:lineRule="auto"/>
              <w:ind w:firstLine="482" w:firstLineChars="200"/>
              <w:rPr>
                <w:rFonts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4、环境影响评价结论</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1 \* GB2 </w:instrText>
            </w:r>
            <w:r>
              <w:rPr>
                <w:color w:val="auto"/>
                <w:sz w:val="24"/>
                <w:szCs w:val="24"/>
              </w:rPr>
              <w:fldChar w:fldCharType="separate"/>
            </w:r>
            <w:r>
              <w:rPr>
                <w:rFonts w:hint="eastAsia" w:ascii="宋体" w:hAnsi="宋体" w:cs="宋体"/>
                <w:color w:val="auto"/>
                <w:sz w:val="24"/>
                <w:szCs w:val="24"/>
              </w:rPr>
              <w:t>⑴</w:t>
            </w:r>
            <w:r>
              <w:rPr>
                <w:color w:val="auto"/>
                <w:sz w:val="24"/>
                <w:szCs w:val="24"/>
              </w:rPr>
              <w:fldChar w:fldCharType="end"/>
            </w:r>
            <w:r>
              <w:rPr>
                <w:color w:val="auto"/>
                <w:sz w:val="24"/>
                <w:szCs w:val="24"/>
              </w:rPr>
              <w:t>大气境影响</w:t>
            </w:r>
            <w:r>
              <w:rPr>
                <w:rFonts w:hint="eastAsia"/>
                <w:color w:val="auto"/>
                <w:sz w:val="24"/>
                <w:szCs w:val="24"/>
              </w:rPr>
              <w:t>评价</w:t>
            </w:r>
            <w:r>
              <w:rPr>
                <w:color w:val="auto"/>
                <w:sz w:val="24"/>
                <w:szCs w:val="24"/>
              </w:rPr>
              <w:t>结论</w:t>
            </w:r>
          </w:p>
          <w:p>
            <w:pPr>
              <w:spacing w:line="360" w:lineRule="auto"/>
              <w:ind w:firstLine="480" w:firstLineChars="200"/>
              <w:rPr>
                <w:color w:val="auto"/>
                <w:sz w:val="24"/>
                <w:szCs w:val="24"/>
              </w:rPr>
            </w:pPr>
            <w:r>
              <w:rPr>
                <w:rFonts w:hint="eastAsia"/>
                <w:color w:val="auto"/>
                <w:sz w:val="24"/>
                <w:szCs w:val="24"/>
              </w:rPr>
              <w:t>项目1#、2#、3#烟囱污染物颗粒物、SO</w:t>
            </w:r>
            <w:r>
              <w:rPr>
                <w:rFonts w:hint="eastAsia"/>
                <w:color w:val="auto"/>
                <w:sz w:val="24"/>
                <w:szCs w:val="24"/>
                <w:vertAlign w:val="subscript"/>
              </w:rPr>
              <w:t>2</w:t>
            </w:r>
            <w:r>
              <w:rPr>
                <w:rFonts w:hint="eastAsia"/>
                <w:color w:val="auto"/>
                <w:sz w:val="24"/>
                <w:szCs w:val="24"/>
              </w:rPr>
              <w:t>和NO</w:t>
            </w:r>
            <w:r>
              <w:rPr>
                <w:rFonts w:hint="eastAsia"/>
                <w:color w:val="auto"/>
                <w:sz w:val="24"/>
                <w:szCs w:val="24"/>
                <w:vertAlign w:val="subscript"/>
              </w:rPr>
              <w:t>X</w:t>
            </w:r>
            <w:r>
              <w:rPr>
                <w:color w:val="auto"/>
                <w:sz w:val="24"/>
                <w:szCs w:val="24"/>
              </w:rPr>
              <w:t>最大地面浓度均未超过</w:t>
            </w:r>
            <w:r>
              <w:rPr>
                <w:rFonts w:hint="eastAsia"/>
                <w:color w:val="auto"/>
                <w:sz w:val="24"/>
                <w:szCs w:val="24"/>
              </w:rPr>
              <w:t>《环境空气质量标准》（GB3095-2012）二级标准限值，对周围环境空气影响较小。</w:t>
            </w:r>
          </w:p>
          <w:p>
            <w:pPr>
              <w:spacing w:line="360" w:lineRule="auto"/>
              <w:ind w:firstLine="480" w:firstLineChars="200"/>
              <w:rPr>
                <w:color w:val="auto"/>
                <w:sz w:val="24"/>
                <w:szCs w:val="24"/>
              </w:rPr>
            </w:pPr>
            <w:r>
              <w:rPr>
                <w:rFonts w:hint="eastAsia"/>
                <w:color w:val="auto"/>
                <w:sz w:val="24"/>
                <w:szCs w:val="24"/>
              </w:rPr>
              <w:t>两个氨区无组织废气污染物NH</w:t>
            </w:r>
            <w:r>
              <w:rPr>
                <w:rFonts w:hint="eastAsia"/>
                <w:color w:val="auto"/>
                <w:sz w:val="24"/>
                <w:szCs w:val="24"/>
                <w:vertAlign w:val="subscript"/>
              </w:rPr>
              <w:t>3</w:t>
            </w:r>
            <w:r>
              <w:rPr>
                <w:rFonts w:hint="eastAsia"/>
                <w:color w:val="auto"/>
                <w:sz w:val="24"/>
                <w:szCs w:val="24"/>
              </w:rPr>
              <w:t>最大地面浓度未超过</w:t>
            </w:r>
            <w:r>
              <w:rPr>
                <w:color w:val="auto"/>
                <w:sz w:val="24"/>
                <w:szCs w:val="24"/>
              </w:rPr>
              <w:t>《工业企业设计卫生标准》（TJ36-79）居住区大气中有害物质的最高容许浓度限值，对周围环境空气影响小。</w:t>
            </w:r>
          </w:p>
          <w:p>
            <w:pPr>
              <w:spacing w:line="360" w:lineRule="auto"/>
              <w:ind w:firstLine="480" w:firstLineChars="200"/>
              <w:rPr>
                <w:color w:val="auto"/>
                <w:sz w:val="24"/>
                <w:szCs w:val="24"/>
              </w:rPr>
            </w:pPr>
            <w:r>
              <w:rPr>
                <w:color w:val="auto"/>
                <w:sz w:val="24"/>
                <w:szCs w:val="24"/>
              </w:rPr>
              <w:t>本项目设置的卫生防护距离为</w:t>
            </w:r>
            <w:r>
              <w:rPr>
                <w:rFonts w:hint="eastAsia"/>
                <w:color w:val="auto"/>
                <w:sz w:val="24"/>
                <w:szCs w:val="24"/>
              </w:rPr>
              <w:t>氨区</w:t>
            </w:r>
            <w:r>
              <w:rPr>
                <w:color w:val="auto"/>
                <w:sz w:val="24"/>
                <w:szCs w:val="24"/>
              </w:rPr>
              <w:t>外</w:t>
            </w:r>
            <w:r>
              <w:rPr>
                <w:rFonts w:hint="eastAsia"/>
                <w:color w:val="auto"/>
                <w:sz w:val="24"/>
                <w:szCs w:val="24"/>
              </w:rPr>
              <w:t>50</w:t>
            </w:r>
            <w:r>
              <w:rPr>
                <w:color w:val="auto"/>
                <w:sz w:val="24"/>
                <w:szCs w:val="24"/>
              </w:rPr>
              <w:t>m范围，项目最近的敏感点为厂区</w:t>
            </w:r>
            <w:r>
              <w:rPr>
                <w:rFonts w:hint="eastAsia"/>
                <w:color w:val="auto"/>
                <w:sz w:val="24"/>
                <w:szCs w:val="24"/>
              </w:rPr>
              <w:t>南</w:t>
            </w:r>
            <w:r>
              <w:rPr>
                <w:color w:val="auto"/>
                <w:sz w:val="24"/>
                <w:szCs w:val="24"/>
              </w:rPr>
              <w:t>侧的</w:t>
            </w:r>
            <w:r>
              <w:rPr>
                <w:rFonts w:hint="eastAsia"/>
                <w:color w:val="auto"/>
                <w:sz w:val="24"/>
                <w:szCs w:val="24"/>
              </w:rPr>
              <w:t>下峪口村</w:t>
            </w:r>
            <w:r>
              <w:rPr>
                <w:color w:val="auto"/>
                <w:sz w:val="24"/>
                <w:szCs w:val="24"/>
              </w:rPr>
              <w:t>，距本项目</w:t>
            </w:r>
            <w:r>
              <w:rPr>
                <w:rFonts w:hint="eastAsia"/>
                <w:color w:val="auto"/>
                <w:sz w:val="24"/>
                <w:szCs w:val="24"/>
              </w:rPr>
              <w:t>1</w:t>
            </w:r>
            <w:r>
              <w:rPr>
                <w:color w:val="auto"/>
                <w:sz w:val="24"/>
                <w:szCs w:val="24"/>
              </w:rPr>
              <w:t>0m，</w:t>
            </w:r>
            <w:r>
              <w:rPr>
                <w:rFonts w:hint="eastAsia"/>
                <w:color w:val="auto"/>
                <w:sz w:val="24"/>
                <w:szCs w:val="24"/>
              </w:rPr>
              <w:t>属规划搬迁环境敏感点</w:t>
            </w:r>
            <w:r>
              <w:rPr>
                <w:color w:val="auto"/>
                <w:sz w:val="24"/>
                <w:szCs w:val="24"/>
              </w:rPr>
              <w:t>。</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2 \* GB2</w:instrText>
            </w:r>
            <w:r>
              <w:rPr>
                <w:color w:val="auto"/>
                <w:sz w:val="24"/>
                <w:szCs w:val="24"/>
              </w:rPr>
              <w:instrText xml:space="preserve"> </w:instrText>
            </w:r>
            <w:r>
              <w:rPr>
                <w:color w:val="auto"/>
                <w:sz w:val="24"/>
                <w:szCs w:val="24"/>
              </w:rPr>
              <w:fldChar w:fldCharType="separate"/>
            </w:r>
            <w:r>
              <w:rPr>
                <w:rFonts w:hint="eastAsia"/>
                <w:color w:val="auto"/>
                <w:sz w:val="24"/>
                <w:szCs w:val="24"/>
              </w:rPr>
              <w:t>⑵</w:t>
            </w:r>
            <w:r>
              <w:rPr>
                <w:color w:val="auto"/>
                <w:sz w:val="24"/>
                <w:szCs w:val="24"/>
              </w:rPr>
              <w:fldChar w:fldCharType="end"/>
            </w:r>
            <w:r>
              <w:rPr>
                <w:color w:val="auto"/>
                <w:sz w:val="24"/>
                <w:szCs w:val="24"/>
              </w:rPr>
              <w:t>声环境影响</w:t>
            </w:r>
            <w:r>
              <w:rPr>
                <w:rFonts w:hint="eastAsia"/>
                <w:color w:val="auto"/>
                <w:sz w:val="24"/>
                <w:szCs w:val="24"/>
              </w:rPr>
              <w:t>评价</w:t>
            </w:r>
            <w:r>
              <w:rPr>
                <w:color w:val="auto"/>
                <w:sz w:val="24"/>
                <w:szCs w:val="24"/>
              </w:rPr>
              <w:t>结论</w:t>
            </w:r>
          </w:p>
          <w:p>
            <w:pPr>
              <w:spacing w:line="360" w:lineRule="auto"/>
              <w:ind w:firstLine="480" w:firstLineChars="200"/>
              <w:rPr>
                <w:color w:val="auto"/>
                <w:kern w:val="0"/>
                <w:sz w:val="24"/>
                <w:szCs w:val="24"/>
              </w:rPr>
            </w:pPr>
            <w:r>
              <w:rPr>
                <w:rFonts w:hint="eastAsia"/>
                <w:color w:val="auto"/>
                <w:sz w:val="24"/>
                <w:szCs w:val="24"/>
              </w:rPr>
              <w:t>项目主要噪声源为脱硫塔和氨区清水泵、卸氨泵、喷氨泵和空压机等，此类设备均已安装且正式运行，根据建设单位于2018年3月29日自行监测报告，南厂界3个噪声监测点位噪声监测值昼间为59.2dB（A）~59.5 dB（A）、夜间为47.0dB（A）~48.5 dB（A），</w:t>
            </w:r>
            <w:r>
              <w:rPr>
                <w:color w:val="auto"/>
                <w:kern w:val="0"/>
                <w:sz w:val="24"/>
                <w:szCs w:val="24"/>
              </w:rPr>
              <w:t>满足《工业企业厂界环境噪声排放标准》（GB12348-2008）</w:t>
            </w:r>
            <w:r>
              <w:rPr>
                <w:rFonts w:hint="eastAsia"/>
                <w:color w:val="auto"/>
                <w:kern w:val="0"/>
                <w:sz w:val="24"/>
                <w:szCs w:val="24"/>
              </w:rPr>
              <w:t>3</w:t>
            </w:r>
            <w:r>
              <w:rPr>
                <w:color w:val="auto"/>
                <w:kern w:val="0"/>
                <w:sz w:val="24"/>
                <w:szCs w:val="24"/>
              </w:rPr>
              <w:t>类标准要求。项目建设不改变当地的声环境质量，对声环境影响较小。</w:t>
            </w:r>
          </w:p>
          <w:p>
            <w:pPr>
              <w:spacing w:line="360" w:lineRule="auto"/>
              <w:ind w:firstLine="482" w:firstLineChars="200"/>
              <w:rPr>
                <w:rFonts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5、项目总量控制指标</w:t>
            </w:r>
          </w:p>
          <w:p>
            <w:pPr>
              <w:spacing w:line="360" w:lineRule="auto"/>
              <w:ind w:firstLine="480" w:firstLineChars="200"/>
              <w:rPr>
                <w:color w:val="auto"/>
                <w:kern w:val="0"/>
                <w:sz w:val="24"/>
                <w:szCs w:val="24"/>
              </w:rPr>
            </w:pPr>
            <w:r>
              <w:rPr>
                <w:rFonts w:hint="eastAsia"/>
                <w:color w:val="auto"/>
                <w:kern w:val="0"/>
                <w:sz w:val="24"/>
                <w:szCs w:val="24"/>
              </w:rPr>
              <w:t>项目总量控制指标为：颗粒物：</w:t>
            </w:r>
            <w:r>
              <w:rPr>
                <w:color w:val="auto"/>
                <w:kern w:val="0"/>
                <w:sz w:val="24"/>
                <w:szCs w:val="24"/>
              </w:rPr>
              <w:t>28.98</w:t>
            </w:r>
            <w:r>
              <w:rPr>
                <w:rFonts w:hint="eastAsia"/>
                <w:color w:val="auto"/>
                <w:kern w:val="0"/>
                <w:sz w:val="24"/>
                <w:szCs w:val="24"/>
              </w:rPr>
              <w:t>t/a；SO</w:t>
            </w:r>
            <w:r>
              <w:rPr>
                <w:rFonts w:hint="eastAsia"/>
                <w:color w:val="auto"/>
                <w:kern w:val="0"/>
                <w:sz w:val="24"/>
                <w:szCs w:val="24"/>
                <w:vertAlign w:val="subscript"/>
              </w:rPr>
              <w:t>2</w:t>
            </w:r>
            <w:r>
              <w:rPr>
                <w:rFonts w:hint="eastAsia"/>
                <w:color w:val="auto"/>
                <w:kern w:val="0"/>
                <w:sz w:val="24"/>
                <w:szCs w:val="24"/>
              </w:rPr>
              <w:t>:</w:t>
            </w:r>
            <w:r>
              <w:rPr>
                <w:color w:val="auto"/>
                <w:kern w:val="0"/>
                <w:sz w:val="24"/>
                <w:szCs w:val="24"/>
              </w:rPr>
              <w:t>168.94</w:t>
            </w:r>
            <w:r>
              <w:rPr>
                <w:rFonts w:hint="eastAsia"/>
                <w:color w:val="auto"/>
                <w:kern w:val="0"/>
                <w:sz w:val="24"/>
                <w:szCs w:val="24"/>
              </w:rPr>
              <w:t>t/a；NO</w:t>
            </w:r>
            <w:r>
              <w:rPr>
                <w:rFonts w:hint="eastAsia"/>
                <w:color w:val="auto"/>
                <w:kern w:val="0"/>
                <w:sz w:val="24"/>
                <w:szCs w:val="24"/>
                <w:vertAlign w:val="subscript"/>
              </w:rPr>
              <w:t>X</w:t>
            </w:r>
            <w:r>
              <w:rPr>
                <w:rFonts w:hint="eastAsia"/>
                <w:color w:val="auto"/>
                <w:kern w:val="0"/>
                <w:sz w:val="24"/>
                <w:szCs w:val="24"/>
              </w:rPr>
              <w:t>：</w:t>
            </w:r>
            <w:r>
              <w:rPr>
                <w:color w:val="auto"/>
                <w:kern w:val="0"/>
                <w:sz w:val="24"/>
                <w:szCs w:val="24"/>
              </w:rPr>
              <w:t>718.</w:t>
            </w:r>
            <w:r>
              <w:rPr>
                <w:rFonts w:hint="eastAsia"/>
                <w:color w:val="auto"/>
                <w:kern w:val="0"/>
                <w:sz w:val="24"/>
                <w:szCs w:val="24"/>
              </w:rPr>
              <w:t>82t/a。</w:t>
            </w:r>
          </w:p>
          <w:p>
            <w:pPr>
              <w:spacing w:line="360" w:lineRule="auto"/>
              <w:ind w:firstLine="482" w:firstLineChars="200"/>
              <w:rPr>
                <w:rFonts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6、总结论</w:t>
            </w:r>
          </w:p>
          <w:p>
            <w:pPr>
              <w:spacing w:line="360" w:lineRule="auto"/>
              <w:ind w:firstLine="480" w:firstLineChars="200"/>
              <w:rPr>
                <w:color w:val="auto"/>
                <w:sz w:val="24"/>
                <w:szCs w:val="24"/>
              </w:rPr>
            </w:pPr>
            <w:r>
              <w:rPr>
                <w:rFonts w:hint="eastAsia"/>
                <w:color w:val="auto"/>
                <w:sz w:val="24"/>
                <w:szCs w:val="24"/>
              </w:rPr>
              <w:t>陕西华富新能源有限公司五台燃气锅炉脱硫、除尘环保改造项目</w:t>
            </w:r>
            <w:r>
              <w:rPr>
                <w:color w:val="auto"/>
                <w:sz w:val="24"/>
                <w:szCs w:val="24"/>
              </w:rPr>
              <w:t>通过</w:t>
            </w:r>
            <w:r>
              <w:rPr>
                <w:rFonts w:hint="eastAsia"/>
                <w:color w:val="auto"/>
                <w:sz w:val="24"/>
                <w:szCs w:val="24"/>
              </w:rPr>
              <w:t>对现有锅炉烟气增加氨法脱硫和袋式除尘</w:t>
            </w:r>
            <w:r>
              <w:rPr>
                <w:color w:val="auto"/>
                <w:sz w:val="24"/>
                <w:szCs w:val="24"/>
              </w:rPr>
              <w:t>，提高</w:t>
            </w:r>
            <w:r>
              <w:rPr>
                <w:rFonts w:hint="eastAsia"/>
                <w:color w:val="auto"/>
                <w:sz w:val="24"/>
                <w:szCs w:val="24"/>
              </w:rPr>
              <w:t>锅炉烟气处理效率</w:t>
            </w:r>
            <w:r>
              <w:rPr>
                <w:color w:val="auto"/>
                <w:sz w:val="24"/>
                <w:szCs w:val="24"/>
              </w:rPr>
              <w:t>，实现</w:t>
            </w:r>
            <w:r>
              <w:rPr>
                <w:rFonts w:hint="eastAsia"/>
                <w:color w:val="auto"/>
                <w:sz w:val="24"/>
                <w:szCs w:val="24"/>
              </w:rPr>
              <w:t>废气</w:t>
            </w:r>
            <w:r>
              <w:rPr>
                <w:color w:val="auto"/>
                <w:sz w:val="24"/>
                <w:szCs w:val="24"/>
              </w:rPr>
              <w:t>达标排放。该项目符合国家产业政策，在严格落实各项环保措施和运行管理良好的情况下，可确保达标排放，项目产生的大气噪声等污染物按照</w:t>
            </w:r>
            <w:r>
              <w:rPr>
                <w:rFonts w:hint="eastAsia"/>
                <w:color w:val="auto"/>
                <w:sz w:val="24"/>
                <w:szCs w:val="24"/>
              </w:rPr>
              <w:t>相关环保</w:t>
            </w:r>
            <w:r>
              <w:rPr>
                <w:color w:val="auto"/>
                <w:sz w:val="24"/>
                <w:szCs w:val="24"/>
              </w:rPr>
              <w:t>要求认真落实，强化管理后对环境的影响较小，</w:t>
            </w:r>
            <w:r>
              <w:rPr>
                <w:rFonts w:hint="eastAsia"/>
                <w:color w:val="auto"/>
                <w:sz w:val="24"/>
                <w:szCs w:val="24"/>
              </w:rPr>
              <w:t>项目</w:t>
            </w:r>
            <w:r>
              <w:rPr>
                <w:color w:val="auto"/>
                <w:sz w:val="24"/>
                <w:szCs w:val="24"/>
              </w:rPr>
              <w:t>建成运行后将产生较大的环境效益和社会效益。从</w:t>
            </w:r>
            <w:r>
              <w:rPr>
                <w:rFonts w:hint="eastAsia"/>
                <w:color w:val="auto"/>
                <w:sz w:val="24"/>
                <w:szCs w:val="24"/>
              </w:rPr>
              <w:t>满足环境质量目标要求角度分析</w:t>
            </w:r>
            <w:r>
              <w:rPr>
                <w:color w:val="auto"/>
                <w:sz w:val="24"/>
                <w:szCs w:val="24"/>
              </w:rPr>
              <w:t>，本</w:t>
            </w:r>
            <w:r>
              <w:rPr>
                <w:rFonts w:hint="eastAsia"/>
                <w:color w:val="auto"/>
                <w:sz w:val="24"/>
                <w:szCs w:val="24"/>
              </w:rPr>
              <w:t>项目</w:t>
            </w:r>
            <w:r>
              <w:rPr>
                <w:color w:val="auto"/>
                <w:sz w:val="24"/>
                <w:szCs w:val="24"/>
              </w:rPr>
              <w:t>建设可行。</w:t>
            </w:r>
          </w:p>
          <w:p>
            <w:pPr>
              <w:spacing w:line="360" w:lineRule="auto"/>
              <w:ind w:firstLine="482" w:firstLineChars="200"/>
              <w:rPr>
                <w:rFonts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7、要求与建议</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1 \* GB2 </w:instrText>
            </w:r>
            <w:r>
              <w:rPr>
                <w:color w:val="auto"/>
                <w:sz w:val="24"/>
                <w:szCs w:val="24"/>
              </w:rPr>
              <w:fldChar w:fldCharType="separate"/>
            </w:r>
            <w:r>
              <w:rPr>
                <w:rFonts w:hint="eastAsia" w:ascii="宋体" w:hAnsi="宋体" w:cs="宋体"/>
                <w:color w:val="auto"/>
                <w:sz w:val="24"/>
                <w:szCs w:val="24"/>
              </w:rPr>
              <w:t>⑴</w:t>
            </w:r>
            <w:r>
              <w:rPr>
                <w:color w:val="auto"/>
                <w:sz w:val="24"/>
                <w:szCs w:val="24"/>
              </w:rPr>
              <w:fldChar w:fldCharType="end"/>
            </w:r>
            <w:r>
              <w:rPr>
                <w:color w:val="auto"/>
                <w:sz w:val="24"/>
                <w:szCs w:val="24"/>
              </w:rPr>
              <w:t>加强</w:t>
            </w:r>
            <w:r>
              <w:rPr>
                <w:rFonts w:hint="eastAsia"/>
                <w:color w:val="auto"/>
                <w:sz w:val="24"/>
                <w:szCs w:val="24"/>
              </w:rPr>
              <w:t>环境管理，保证各项环保设施长期稳定良好运行</w:t>
            </w:r>
            <w:r>
              <w:rPr>
                <w:color w:val="auto"/>
                <w:sz w:val="24"/>
                <w:szCs w:val="24"/>
              </w:rPr>
              <w:t>；</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2 \* GB2 </w:instrText>
            </w:r>
            <w:r>
              <w:rPr>
                <w:color w:val="auto"/>
                <w:sz w:val="24"/>
                <w:szCs w:val="24"/>
              </w:rPr>
              <w:fldChar w:fldCharType="separate"/>
            </w:r>
            <w:r>
              <w:rPr>
                <w:rFonts w:hint="eastAsia" w:ascii="宋体" w:hAnsi="宋体" w:cs="宋体"/>
                <w:color w:val="auto"/>
                <w:sz w:val="24"/>
                <w:szCs w:val="24"/>
              </w:rPr>
              <w:t>⑵</w:t>
            </w:r>
            <w:r>
              <w:rPr>
                <w:color w:val="auto"/>
                <w:sz w:val="24"/>
                <w:szCs w:val="24"/>
              </w:rPr>
              <w:fldChar w:fldCharType="end"/>
            </w:r>
            <w:r>
              <w:rPr>
                <w:rFonts w:hint="eastAsia"/>
                <w:color w:val="auto"/>
                <w:sz w:val="24"/>
                <w:szCs w:val="24"/>
              </w:rPr>
              <w:t>通过DCS和在线监测系统精确控制脱硫塔氨水喷入量，确保烟气的脱硫效果；</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3 \* GB2</w:instrText>
            </w:r>
            <w:r>
              <w:rPr>
                <w:color w:val="auto"/>
                <w:sz w:val="24"/>
                <w:szCs w:val="24"/>
              </w:rPr>
              <w:instrText xml:space="preserve"> </w:instrText>
            </w:r>
            <w:r>
              <w:rPr>
                <w:color w:val="auto"/>
                <w:sz w:val="24"/>
                <w:szCs w:val="24"/>
              </w:rPr>
              <w:fldChar w:fldCharType="separate"/>
            </w:r>
            <w:r>
              <w:rPr>
                <w:rFonts w:hint="eastAsia"/>
                <w:color w:val="auto"/>
                <w:sz w:val="24"/>
                <w:szCs w:val="24"/>
              </w:rPr>
              <w:t>⑶</w:t>
            </w:r>
            <w:r>
              <w:rPr>
                <w:color w:val="auto"/>
                <w:sz w:val="24"/>
                <w:szCs w:val="24"/>
              </w:rPr>
              <w:fldChar w:fldCharType="end"/>
            </w:r>
            <w:r>
              <w:rPr>
                <w:rFonts w:hint="eastAsia"/>
                <w:color w:val="auto"/>
                <w:sz w:val="24"/>
                <w:szCs w:val="24"/>
              </w:rPr>
              <w:t>建立环境风险隐患排查制度，加强氨区事故风险隐患排查。</w:t>
            </w:r>
          </w:p>
          <w:p>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 4 \* GB2</w:instrText>
            </w:r>
            <w:r>
              <w:rPr>
                <w:color w:val="auto"/>
                <w:sz w:val="24"/>
                <w:szCs w:val="24"/>
              </w:rPr>
              <w:instrText xml:space="preserve"> </w:instrText>
            </w:r>
            <w:r>
              <w:rPr>
                <w:color w:val="auto"/>
                <w:sz w:val="24"/>
                <w:szCs w:val="24"/>
              </w:rPr>
              <w:fldChar w:fldCharType="separate"/>
            </w:r>
            <w:r>
              <w:rPr>
                <w:rFonts w:hint="eastAsia"/>
                <w:color w:val="auto"/>
                <w:sz w:val="24"/>
                <w:szCs w:val="24"/>
              </w:rPr>
              <w:t>⑷</w:t>
            </w:r>
            <w:r>
              <w:rPr>
                <w:color w:val="auto"/>
                <w:sz w:val="24"/>
                <w:szCs w:val="24"/>
              </w:rPr>
              <w:fldChar w:fldCharType="end"/>
            </w:r>
            <w:r>
              <w:rPr>
                <w:color w:val="auto"/>
                <w:sz w:val="24"/>
                <w:szCs w:val="24"/>
              </w:rPr>
              <w:t>本项目的卫生防护距为</w:t>
            </w:r>
            <w:r>
              <w:rPr>
                <w:rFonts w:hint="eastAsia"/>
                <w:color w:val="auto"/>
                <w:sz w:val="24"/>
                <w:szCs w:val="24"/>
              </w:rPr>
              <w:t>两个氨区</w:t>
            </w:r>
            <w:r>
              <w:rPr>
                <w:color w:val="auto"/>
                <w:sz w:val="24"/>
                <w:szCs w:val="24"/>
              </w:rPr>
              <w:t>构筑物边界</w:t>
            </w:r>
            <w:r>
              <w:rPr>
                <w:rFonts w:hint="eastAsia"/>
                <w:color w:val="auto"/>
                <w:sz w:val="24"/>
                <w:szCs w:val="24"/>
              </w:rPr>
              <w:t>外50</w:t>
            </w:r>
            <w:r>
              <w:rPr>
                <w:color w:val="auto"/>
                <w:sz w:val="24"/>
                <w:szCs w:val="24"/>
              </w:rPr>
              <w:t>m，建议规划部门在</w:t>
            </w:r>
            <w:r>
              <w:rPr>
                <w:rFonts w:hint="eastAsia"/>
                <w:color w:val="auto"/>
                <w:sz w:val="24"/>
                <w:szCs w:val="24"/>
              </w:rPr>
              <w:t>卫生防护距离</w:t>
            </w:r>
            <w:r>
              <w:rPr>
                <w:color w:val="auto"/>
                <w:sz w:val="24"/>
                <w:szCs w:val="24"/>
              </w:rPr>
              <w:t>范围内不再规划建设住宅、学校、医院等敏感建筑。</w:t>
            </w:r>
          </w:p>
          <w:p>
            <w:pPr>
              <w:spacing w:line="360" w:lineRule="auto"/>
              <w:ind w:firstLine="480" w:firstLineChars="200"/>
              <w:rPr>
                <w:color w:val="auto"/>
                <w:sz w:val="24"/>
                <w:szCs w:val="24"/>
              </w:rPr>
            </w:pPr>
          </w:p>
          <w:p>
            <w:pPr>
              <w:spacing w:line="360" w:lineRule="auto"/>
              <w:ind w:firstLine="480" w:firstLineChars="200"/>
              <w:rPr>
                <w:color w:val="auto"/>
                <w:sz w:val="24"/>
                <w:szCs w:val="24"/>
              </w:rPr>
            </w:pPr>
          </w:p>
          <w:p>
            <w:pPr>
              <w:spacing w:line="360" w:lineRule="auto"/>
              <w:ind w:firstLine="480" w:firstLineChars="200"/>
              <w:rPr>
                <w:color w:val="auto"/>
                <w:sz w:val="24"/>
                <w:szCs w:val="24"/>
              </w:rPr>
            </w:pPr>
          </w:p>
          <w:p>
            <w:pPr>
              <w:spacing w:line="360" w:lineRule="auto"/>
              <w:ind w:firstLine="480" w:firstLineChars="200"/>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tc>
      </w:tr>
    </w:tbl>
    <w:p>
      <w:pPr>
        <w:spacing w:line="20" w:lineRule="exact"/>
        <w:rPr>
          <w:color w:val="auto"/>
        </w:rPr>
      </w:pPr>
    </w:p>
    <w:sectPr>
      <w:pgSz w:w="11906" w:h="16838"/>
      <w:pgMar w:top="1588" w:right="1134" w:bottom="1361" w:left="1701" w:header="851"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altName w:val="宋体"/>
    <w:panose1 w:val="02010601030101010101"/>
    <w:charset w:val="86"/>
    <w:family w:val="auto"/>
    <w:pitch w:val="default"/>
    <w:sig w:usb0="00000000" w:usb1="00000000" w:usb2="00000010" w:usb3="00000000" w:csb0="00040000" w:csb1="00000000"/>
  </w:font>
  <w:font w:name="@宋体">
    <w:panose1 w:val="02010600030101010101"/>
    <w:charset w:val="86"/>
    <w:family w:val="auto"/>
    <w:pitch w:val="variable"/>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4</w:t>
    </w:r>
    <w:r>
      <w:rPr>
        <w:rStyle w:val="24"/>
      </w:rPr>
      <w:fldChar w:fldCharType="end"/>
    </w:r>
  </w:p>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073CFB"/>
    <w:multiLevelType w:val="multilevel"/>
    <w:tmpl w:val="76073CFB"/>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isplayBackgroundShape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4"/>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BCC"/>
    <w:rsid w:val="000007CF"/>
    <w:rsid w:val="000008E9"/>
    <w:rsid w:val="00000B28"/>
    <w:rsid w:val="00000FD1"/>
    <w:rsid w:val="000017F3"/>
    <w:rsid w:val="00002A2C"/>
    <w:rsid w:val="00003675"/>
    <w:rsid w:val="000036D1"/>
    <w:rsid w:val="00003AEB"/>
    <w:rsid w:val="00003F72"/>
    <w:rsid w:val="0000476C"/>
    <w:rsid w:val="00004E0E"/>
    <w:rsid w:val="0000501D"/>
    <w:rsid w:val="00006EA4"/>
    <w:rsid w:val="0000789E"/>
    <w:rsid w:val="00007E74"/>
    <w:rsid w:val="00007F85"/>
    <w:rsid w:val="0001007F"/>
    <w:rsid w:val="00011013"/>
    <w:rsid w:val="00011940"/>
    <w:rsid w:val="00011C2B"/>
    <w:rsid w:val="000121A3"/>
    <w:rsid w:val="0001232D"/>
    <w:rsid w:val="00012AD3"/>
    <w:rsid w:val="00012BAD"/>
    <w:rsid w:val="00012F80"/>
    <w:rsid w:val="00013551"/>
    <w:rsid w:val="000139C0"/>
    <w:rsid w:val="00014C91"/>
    <w:rsid w:val="000152A1"/>
    <w:rsid w:val="0001532C"/>
    <w:rsid w:val="00015D21"/>
    <w:rsid w:val="00015F3A"/>
    <w:rsid w:val="00016E0A"/>
    <w:rsid w:val="000171B0"/>
    <w:rsid w:val="0001721A"/>
    <w:rsid w:val="00017276"/>
    <w:rsid w:val="000172F1"/>
    <w:rsid w:val="00017461"/>
    <w:rsid w:val="000210FB"/>
    <w:rsid w:val="0002145F"/>
    <w:rsid w:val="00021C86"/>
    <w:rsid w:val="00021ECA"/>
    <w:rsid w:val="0002269C"/>
    <w:rsid w:val="00022E89"/>
    <w:rsid w:val="00023257"/>
    <w:rsid w:val="00023703"/>
    <w:rsid w:val="00025F14"/>
    <w:rsid w:val="00026337"/>
    <w:rsid w:val="00026491"/>
    <w:rsid w:val="0002683B"/>
    <w:rsid w:val="00026F2A"/>
    <w:rsid w:val="0002773B"/>
    <w:rsid w:val="0003022F"/>
    <w:rsid w:val="00030A3D"/>
    <w:rsid w:val="00030B0C"/>
    <w:rsid w:val="00030EE4"/>
    <w:rsid w:val="00031067"/>
    <w:rsid w:val="0003119A"/>
    <w:rsid w:val="0003139C"/>
    <w:rsid w:val="000317CA"/>
    <w:rsid w:val="00031BB9"/>
    <w:rsid w:val="00032603"/>
    <w:rsid w:val="000326A6"/>
    <w:rsid w:val="00032A74"/>
    <w:rsid w:val="000343B3"/>
    <w:rsid w:val="000343E5"/>
    <w:rsid w:val="00034461"/>
    <w:rsid w:val="000346B0"/>
    <w:rsid w:val="00034C54"/>
    <w:rsid w:val="00034F05"/>
    <w:rsid w:val="00035BBF"/>
    <w:rsid w:val="000364AB"/>
    <w:rsid w:val="000368B3"/>
    <w:rsid w:val="00037827"/>
    <w:rsid w:val="00040C02"/>
    <w:rsid w:val="00040C54"/>
    <w:rsid w:val="00040E94"/>
    <w:rsid w:val="0004158D"/>
    <w:rsid w:val="0004188E"/>
    <w:rsid w:val="00041A74"/>
    <w:rsid w:val="000423BA"/>
    <w:rsid w:val="000423F3"/>
    <w:rsid w:val="0004249D"/>
    <w:rsid w:val="00042724"/>
    <w:rsid w:val="0004376A"/>
    <w:rsid w:val="0004497C"/>
    <w:rsid w:val="000449E1"/>
    <w:rsid w:val="0004622E"/>
    <w:rsid w:val="00046C72"/>
    <w:rsid w:val="00050123"/>
    <w:rsid w:val="000501DD"/>
    <w:rsid w:val="0005066F"/>
    <w:rsid w:val="00050A16"/>
    <w:rsid w:val="0005228B"/>
    <w:rsid w:val="00052291"/>
    <w:rsid w:val="00052624"/>
    <w:rsid w:val="00052C53"/>
    <w:rsid w:val="00052F0B"/>
    <w:rsid w:val="00053A90"/>
    <w:rsid w:val="00053BD0"/>
    <w:rsid w:val="00054228"/>
    <w:rsid w:val="00054777"/>
    <w:rsid w:val="000552F5"/>
    <w:rsid w:val="0005556E"/>
    <w:rsid w:val="00055FCC"/>
    <w:rsid w:val="00055FD6"/>
    <w:rsid w:val="00056070"/>
    <w:rsid w:val="0005681F"/>
    <w:rsid w:val="00056B67"/>
    <w:rsid w:val="0005707B"/>
    <w:rsid w:val="000572F9"/>
    <w:rsid w:val="00057735"/>
    <w:rsid w:val="000578DC"/>
    <w:rsid w:val="00057F80"/>
    <w:rsid w:val="000601D0"/>
    <w:rsid w:val="00060FFF"/>
    <w:rsid w:val="000610C9"/>
    <w:rsid w:val="00061246"/>
    <w:rsid w:val="000618F2"/>
    <w:rsid w:val="00062A56"/>
    <w:rsid w:val="00062ED0"/>
    <w:rsid w:val="000636B2"/>
    <w:rsid w:val="00063BB3"/>
    <w:rsid w:val="00063D2A"/>
    <w:rsid w:val="000642A7"/>
    <w:rsid w:val="0006453A"/>
    <w:rsid w:val="00064CDB"/>
    <w:rsid w:val="00064E62"/>
    <w:rsid w:val="000652FA"/>
    <w:rsid w:val="000653AA"/>
    <w:rsid w:val="0006582E"/>
    <w:rsid w:val="00065CA2"/>
    <w:rsid w:val="00065F62"/>
    <w:rsid w:val="00065FF4"/>
    <w:rsid w:val="00066CFA"/>
    <w:rsid w:val="00066E6F"/>
    <w:rsid w:val="0006715A"/>
    <w:rsid w:val="000675E6"/>
    <w:rsid w:val="00067746"/>
    <w:rsid w:val="00067783"/>
    <w:rsid w:val="000677A4"/>
    <w:rsid w:val="00067D49"/>
    <w:rsid w:val="00070119"/>
    <w:rsid w:val="00070BCC"/>
    <w:rsid w:val="00070C1B"/>
    <w:rsid w:val="000713D5"/>
    <w:rsid w:val="000717A7"/>
    <w:rsid w:val="00071895"/>
    <w:rsid w:val="00071B4C"/>
    <w:rsid w:val="00071C01"/>
    <w:rsid w:val="000724B4"/>
    <w:rsid w:val="00072E42"/>
    <w:rsid w:val="00072F3D"/>
    <w:rsid w:val="00073003"/>
    <w:rsid w:val="00073BEA"/>
    <w:rsid w:val="00074CB4"/>
    <w:rsid w:val="00075BCF"/>
    <w:rsid w:val="0007613C"/>
    <w:rsid w:val="0007781A"/>
    <w:rsid w:val="00077C91"/>
    <w:rsid w:val="00077E8A"/>
    <w:rsid w:val="00080F3F"/>
    <w:rsid w:val="0008166C"/>
    <w:rsid w:val="00082191"/>
    <w:rsid w:val="000824FF"/>
    <w:rsid w:val="000829EA"/>
    <w:rsid w:val="0008389B"/>
    <w:rsid w:val="00083C61"/>
    <w:rsid w:val="00083E17"/>
    <w:rsid w:val="00083E36"/>
    <w:rsid w:val="0008433D"/>
    <w:rsid w:val="00084835"/>
    <w:rsid w:val="00084BDF"/>
    <w:rsid w:val="00084E3B"/>
    <w:rsid w:val="0008503D"/>
    <w:rsid w:val="000852A2"/>
    <w:rsid w:val="000856E3"/>
    <w:rsid w:val="00085B3B"/>
    <w:rsid w:val="000864AB"/>
    <w:rsid w:val="00086570"/>
    <w:rsid w:val="00086DEA"/>
    <w:rsid w:val="00087379"/>
    <w:rsid w:val="00087A20"/>
    <w:rsid w:val="00091957"/>
    <w:rsid w:val="00091C39"/>
    <w:rsid w:val="00092137"/>
    <w:rsid w:val="000925DE"/>
    <w:rsid w:val="0009321B"/>
    <w:rsid w:val="0009365E"/>
    <w:rsid w:val="000936EB"/>
    <w:rsid w:val="000948C7"/>
    <w:rsid w:val="00094CDD"/>
    <w:rsid w:val="0009565C"/>
    <w:rsid w:val="00095D7A"/>
    <w:rsid w:val="00096032"/>
    <w:rsid w:val="000960C3"/>
    <w:rsid w:val="0009631E"/>
    <w:rsid w:val="000965D7"/>
    <w:rsid w:val="0009742F"/>
    <w:rsid w:val="00097D10"/>
    <w:rsid w:val="000A04C3"/>
    <w:rsid w:val="000A0797"/>
    <w:rsid w:val="000A106E"/>
    <w:rsid w:val="000A10D3"/>
    <w:rsid w:val="000A1234"/>
    <w:rsid w:val="000A1306"/>
    <w:rsid w:val="000A15DC"/>
    <w:rsid w:val="000A1807"/>
    <w:rsid w:val="000A2062"/>
    <w:rsid w:val="000A20C0"/>
    <w:rsid w:val="000A20CB"/>
    <w:rsid w:val="000A38E1"/>
    <w:rsid w:val="000A448B"/>
    <w:rsid w:val="000A47CF"/>
    <w:rsid w:val="000A4847"/>
    <w:rsid w:val="000A55F0"/>
    <w:rsid w:val="000A5984"/>
    <w:rsid w:val="000A5A42"/>
    <w:rsid w:val="000A5D30"/>
    <w:rsid w:val="000A61E6"/>
    <w:rsid w:val="000A63E7"/>
    <w:rsid w:val="000A68BA"/>
    <w:rsid w:val="000A6975"/>
    <w:rsid w:val="000A6C62"/>
    <w:rsid w:val="000A7399"/>
    <w:rsid w:val="000A7C56"/>
    <w:rsid w:val="000A7FE6"/>
    <w:rsid w:val="000B009D"/>
    <w:rsid w:val="000B07E9"/>
    <w:rsid w:val="000B0D40"/>
    <w:rsid w:val="000B162E"/>
    <w:rsid w:val="000B19B0"/>
    <w:rsid w:val="000B2178"/>
    <w:rsid w:val="000B27D1"/>
    <w:rsid w:val="000B3841"/>
    <w:rsid w:val="000B4726"/>
    <w:rsid w:val="000B517D"/>
    <w:rsid w:val="000B5F72"/>
    <w:rsid w:val="000B7202"/>
    <w:rsid w:val="000B7315"/>
    <w:rsid w:val="000B7DCF"/>
    <w:rsid w:val="000B7E6D"/>
    <w:rsid w:val="000C0026"/>
    <w:rsid w:val="000C0EB5"/>
    <w:rsid w:val="000C1076"/>
    <w:rsid w:val="000C189A"/>
    <w:rsid w:val="000C2099"/>
    <w:rsid w:val="000C20EA"/>
    <w:rsid w:val="000C2753"/>
    <w:rsid w:val="000C2F80"/>
    <w:rsid w:val="000C309B"/>
    <w:rsid w:val="000C3296"/>
    <w:rsid w:val="000C338D"/>
    <w:rsid w:val="000C3ECE"/>
    <w:rsid w:val="000C41ED"/>
    <w:rsid w:val="000C42F2"/>
    <w:rsid w:val="000C4780"/>
    <w:rsid w:val="000C4B20"/>
    <w:rsid w:val="000C4ED7"/>
    <w:rsid w:val="000C5318"/>
    <w:rsid w:val="000C6617"/>
    <w:rsid w:val="000C6817"/>
    <w:rsid w:val="000C68CD"/>
    <w:rsid w:val="000C6BEB"/>
    <w:rsid w:val="000C7088"/>
    <w:rsid w:val="000C719F"/>
    <w:rsid w:val="000C71F1"/>
    <w:rsid w:val="000C7801"/>
    <w:rsid w:val="000D0786"/>
    <w:rsid w:val="000D1332"/>
    <w:rsid w:val="000D1550"/>
    <w:rsid w:val="000D19E9"/>
    <w:rsid w:val="000D1CC4"/>
    <w:rsid w:val="000D267F"/>
    <w:rsid w:val="000D3A68"/>
    <w:rsid w:val="000D4037"/>
    <w:rsid w:val="000D46DC"/>
    <w:rsid w:val="000D4F5D"/>
    <w:rsid w:val="000D5D3B"/>
    <w:rsid w:val="000D630F"/>
    <w:rsid w:val="000D65A7"/>
    <w:rsid w:val="000D6D00"/>
    <w:rsid w:val="000D7FE1"/>
    <w:rsid w:val="000E0583"/>
    <w:rsid w:val="000E06EB"/>
    <w:rsid w:val="000E07D8"/>
    <w:rsid w:val="000E0AFE"/>
    <w:rsid w:val="000E1F2E"/>
    <w:rsid w:val="000E22E1"/>
    <w:rsid w:val="000E2699"/>
    <w:rsid w:val="000E27D3"/>
    <w:rsid w:val="000E2933"/>
    <w:rsid w:val="000E2B5A"/>
    <w:rsid w:val="000E305B"/>
    <w:rsid w:val="000E3599"/>
    <w:rsid w:val="000E4CE0"/>
    <w:rsid w:val="000E4F82"/>
    <w:rsid w:val="000E5058"/>
    <w:rsid w:val="000E51C3"/>
    <w:rsid w:val="000E542E"/>
    <w:rsid w:val="000E562F"/>
    <w:rsid w:val="000E65FC"/>
    <w:rsid w:val="000E684B"/>
    <w:rsid w:val="000E6A8B"/>
    <w:rsid w:val="000E79FF"/>
    <w:rsid w:val="000E7C52"/>
    <w:rsid w:val="000E7D15"/>
    <w:rsid w:val="000E7E00"/>
    <w:rsid w:val="000F082F"/>
    <w:rsid w:val="000F0B1D"/>
    <w:rsid w:val="000F188C"/>
    <w:rsid w:val="000F1DAF"/>
    <w:rsid w:val="000F208F"/>
    <w:rsid w:val="000F2162"/>
    <w:rsid w:val="000F2380"/>
    <w:rsid w:val="000F29E1"/>
    <w:rsid w:val="000F2DC8"/>
    <w:rsid w:val="000F30F0"/>
    <w:rsid w:val="000F3455"/>
    <w:rsid w:val="000F3482"/>
    <w:rsid w:val="000F348B"/>
    <w:rsid w:val="000F397C"/>
    <w:rsid w:val="000F3EC5"/>
    <w:rsid w:val="000F3F40"/>
    <w:rsid w:val="000F40BE"/>
    <w:rsid w:val="000F54B4"/>
    <w:rsid w:val="000F58EE"/>
    <w:rsid w:val="000F5C82"/>
    <w:rsid w:val="000F7795"/>
    <w:rsid w:val="000F783B"/>
    <w:rsid w:val="000F7D1A"/>
    <w:rsid w:val="0010004D"/>
    <w:rsid w:val="00100366"/>
    <w:rsid w:val="001003C0"/>
    <w:rsid w:val="00100D77"/>
    <w:rsid w:val="00100E17"/>
    <w:rsid w:val="0010153C"/>
    <w:rsid w:val="00101664"/>
    <w:rsid w:val="001016A2"/>
    <w:rsid w:val="00102EA0"/>
    <w:rsid w:val="00103363"/>
    <w:rsid w:val="001042B3"/>
    <w:rsid w:val="00104B3A"/>
    <w:rsid w:val="00106B99"/>
    <w:rsid w:val="00107D1A"/>
    <w:rsid w:val="00107DAF"/>
    <w:rsid w:val="0011000A"/>
    <w:rsid w:val="00110249"/>
    <w:rsid w:val="00110362"/>
    <w:rsid w:val="00110B33"/>
    <w:rsid w:val="00110CBE"/>
    <w:rsid w:val="00111481"/>
    <w:rsid w:val="00112AF8"/>
    <w:rsid w:val="00112FA2"/>
    <w:rsid w:val="00113D19"/>
    <w:rsid w:val="00113F3E"/>
    <w:rsid w:val="00113FEE"/>
    <w:rsid w:val="00114217"/>
    <w:rsid w:val="00114419"/>
    <w:rsid w:val="0011481D"/>
    <w:rsid w:val="001151CF"/>
    <w:rsid w:val="001155DA"/>
    <w:rsid w:val="00115793"/>
    <w:rsid w:val="0011627E"/>
    <w:rsid w:val="00116414"/>
    <w:rsid w:val="001203B8"/>
    <w:rsid w:val="00120647"/>
    <w:rsid w:val="00120C06"/>
    <w:rsid w:val="00120E65"/>
    <w:rsid w:val="001224B6"/>
    <w:rsid w:val="00122BAD"/>
    <w:rsid w:val="00123CAB"/>
    <w:rsid w:val="001241FA"/>
    <w:rsid w:val="0012464C"/>
    <w:rsid w:val="00124BBE"/>
    <w:rsid w:val="001254C7"/>
    <w:rsid w:val="001254E4"/>
    <w:rsid w:val="00125CAE"/>
    <w:rsid w:val="00125FA1"/>
    <w:rsid w:val="001260A4"/>
    <w:rsid w:val="00126CD7"/>
    <w:rsid w:val="0012788C"/>
    <w:rsid w:val="001301FA"/>
    <w:rsid w:val="001303F5"/>
    <w:rsid w:val="001309DF"/>
    <w:rsid w:val="00131825"/>
    <w:rsid w:val="001318F5"/>
    <w:rsid w:val="00131DFC"/>
    <w:rsid w:val="00131E92"/>
    <w:rsid w:val="00132620"/>
    <w:rsid w:val="00132FB2"/>
    <w:rsid w:val="0013344C"/>
    <w:rsid w:val="00133F49"/>
    <w:rsid w:val="0013418E"/>
    <w:rsid w:val="00134E0A"/>
    <w:rsid w:val="00135537"/>
    <w:rsid w:val="001357E1"/>
    <w:rsid w:val="001366AD"/>
    <w:rsid w:val="00136A4B"/>
    <w:rsid w:val="00136B54"/>
    <w:rsid w:val="00140104"/>
    <w:rsid w:val="00140A56"/>
    <w:rsid w:val="00140DC1"/>
    <w:rsid w:val="001412DD"/>
    <w:rsid w:val="001439F1"/>
    <w:rsid w:val="00143F3B"/>
    <w:rsid w:val="00144133"/>
    <w:rsid w:val="00144241"/>
    <w:rsid w:val="00144CE1"/>
    <w:rsid w:val="00145498"/>
    <w:rsid w:val="00145832"/>
    <w:rsid w:val="00145FAC"/>
    <w:rsid w:val="00146796"/>
    <w:rsid w:val="001470A6"/>
    <w:rsid w:val="001470B4"/>
    <w:rsid w:val="0014715A"/>
    <w:rsid w:val="0014750D"/>
    <w:rsid w:val="00150208"/>
    <w:rsid w:val="001520FF"/>
    <w:rsid w:val="001522E0"/>
    <w:rsid w:val="0015247C"/>
    <w:rsid w:val="0015258F"/>
    <w:rsid w:val="0015266D"/>
    <w:rsid w:val="001528E0"/>
    <w:rsid w:val="0015329E"/>
    <w:rsid w:val="00153CB9"/>
    <w:rsid w:val="00154D4F"/>
    <w:rsid w:val="00154DE8"/>
    <w:rsid w:val="0015543D"/>
    <w:rsid w:val="00155A36"/>
    <w:rsid w:val="00155A78"/>
    <w:rsid w:val="00155C75"/>
    <w:rsid w:val="0015637C"/>
    <w:rsid w:val="00156654"/>
    <w:rsid w:val="00157ADE"/>
    <w:rsid w:val="00157E7C"/>
    <w:rsid w:val="00160360"/>
    <w:rsid w:val="00161600"/>
    <w:rsid w:val="001619EE"/>
    <w:rsid w:val="00162314"/>
    <w:rsid w:val="001636B2"/>
    <w:rsid w:val="00163A01"/>
    <w:rsid w:val="00164571"/>
    <w:rsid w:val="00165439"/>
    <w:rsid w:val="00165EAD"/>
    <w:rsid w:val="001666FA"/>
    <w:rsid w:val="00166B43"/>
    <w:rsid w:val="00166F58"/>
    <w:rsid w:val="001676E9"/>
    <w:rsid w:val="0017016B"/>
    <w:rsid w:val="00170191"/>
    <w:rsid w:val="00170797"/>
    <w:rsid w:val="00170D2C"/>
    <w:rsid w:val="00170DB3"/>
    <w:rsid w:val="00171304"/>
    <w:rsid w:val="0017143E"/>
    <w:rsid w:val="0017167F"/>
    <w:rsid w:val="00171938"/>
    <w:rsid w:val="00171A87"/>
    <w:rsid w:val="001720C0"/>
    <w:rsid w:val="0017228F"/>
    <w:rsid w:val="00172AA3"/>
    <w:rsid w:val="00173960"/>
    <w:rsid w:val="00173AC5"/>
    <w:rsid w:val="00173B66"/>
    <w:rsid w:val="00173CC5"/>
    <w:rsid w:val="00174ACE"/>
    <w:rsid w:val="00174E26"/>
    <w:rsid w:val="00175AC0"/>
    <w:rsid w:val="001763C1"/>
    <w:rsid w:val="00176951"/>
    <w:rsid w:val="00176AD2"/>
    <w:rsid w:val="001772C9"/>
    <w:rsid w:val="00177612"/>
    <w:rsid w:val="001776E3"/>
    <w:rsid w:val="001777B7"/>
    <w:rsid w:val="0017785A"/>
    <w:rsid w:val="00177C38"/>
    <w:rsid w:val="00180682"/>
    <w:rsid w:val="00180961"/>
    <w:rsid w:val="00180CA0"/>
    <w:rsid w:val="001813DB"/>
    <w:rsid w:val="0018320D"/>
    <w:rsid w:val="0018416C"/>
    <w:rsid w:val="001842FC"/>
    <w:rsid w:val="00184775"/>
    <w:rsid w:val="00184DFD"/>
    <w:rsid w:val="00186F4A"/>
    <w:rsid w:val="00190450"/>
    <w:rsid w:val="00190F3B"/>
    <w:rsid w:val="0019176C"/>
    <w:rsid w:val="001918B9"/>
    <w:rsid w:val="001924FE"/>
    <w:rsid w:val="00192689"/>
    <w:rsid w:val="00192982"/>
    <w:rsid w:val="001929D3"/>
    <w:rsid w:val="00192D3F"/>
    <w:rsid w:val="00192DAA"/>
    <w:rsid w:val="00193608"/>
    <w:rsid w:val="00193815"/>
    <w:rsid w:val="00193941"/>
    <w:rsid w:val="00195949"/>
    <w:rsid w:val="00195975"/>
    <w:rsid w:val="00195B2C"/>
    <w:rsid w:val="00195FB6"/>
    <w:rsid w:val="00196D82"/>
    <w:rsid w:val="001970FF"/>
    <w:rsid w:val="00197184"/>
    <w:rsid w:val="00197F57"/>
    <w:rsid w:val="001A0781"/>
    <w:rsid w:val="001A0BD9"/>
    <w:rsid w:val="001A0F82"/>
    <w:rsid w:val="001A1392"/>
    <w:rsid w:val="001A2479"/>
    <w:rsid w:val="001A2D82"/>
    <w:rsid w:val="001A39A1"/>
    <w:rsid w:val="001A39D6"/>
    <w:rsid w:val="001A447C"/>
    <w:rsid w:val="001A4A3C"/>
    <w:rsid w:val="001A50D6"/>
    <w:rsid w:val="001A7519"/>
    <w:rsid w:val="001A7B1F"/>
    <w:rsid w:val="001A7D82"/>
    <w:rsid w:val="001B097B"/>
    <w:rsid w:val="001B0A0D"/>
    <w:rsid w:val="001B0A8D"/>
    <w:rsid w:val="001B0F1D"/>
    <w:rsid w:val="001B1AB9"/>
    <w:rsid w:val="001B1EB3"/>
    <w:rsid w:val="001B1F5A"/>
    <w:rsid w:val="001B22C0"/>
    <w:rsid w:val="001B22E0"/>
    <w:rsid w:val="001B23CC"/>
    <w:rsid w:val="001B35EF"/>
    <w:rsid w:val="001B40BD"/>
    <w:rsid w:val="001B441D"/>
    <w:rsid w:val="001B4B22"/>
    <w:rsid w:val="001B5696"/>
    <w:rsid w:val="001B5707"/>
    <w:rsid w:val="001B59FE"/>
    <w:rsid w:val="001B5EF0"/>
    <w:rsid w:val="001B5F15"/>
    <w:rsid w:val="001B601A"/>
    <w:rsid w:val="001B63C5"/>
    <w:rsid w:val="001B6D45"/>
    <w:rsid w:val="001B760C"/>
    <w:rsid w:val="001B7884"/>
    <w:rsid w:val="001B798B"/>
    <w:rsid w:val="001B7F36"/>
    <w:rsid w:val="001C0381"/>
    <w:rsid w:val="001C077E"/>
    <w:rsid w:val="001C20B5"/>
    <w:rsid w:val="001C2414"/>
    <w:rsid w:val="001C25A7"/>
    <w:rsid w:val="001C28FA"/>
    <w:rsid w:val="001C2C6F"/>
    <w:rsid w:val="001C2D72"/>
    <w:rsid w:val="001C33D9"/>
    <w:rsid w:val="001C3A82"/>
    <w:rsid w:val="001C4298"/>
    <w:rsid w:val="001C48E6"/>
    <w:rsid w:val="001C5385"/>
    <w:rsid w:val="001C66D5"/>
    <w:rsid w:val="001C6852"/>
    <w:rsid w:val="001C73ED"/>
    <w:rsid w:val="001C7A70"/>
    <w:rsid w:val="001C7B6F"/>
    <w:rsid w:val="001C7BF3"/>
    <w:rsid w:val="001D03A9"/>
    <w:rsid w:val="001D07CA"/>
    <w:rsid w:val="001D08EB"/>
    <w:rsid w:val="001D0BB0"/>
    <w:rsid w:val="001D15FB"/>
    <w:rsid w:val="001D1C7A"/>
    <w:rsid w:val="001D1CA2"/>
    <w:rsid w:val="001D1EF9"/>
    <w:rsid w:val="001D1F08"/>
    <w:rsid w:val="001D221F"/>
    <w:rsid w:val="001D2FFF"/>
    <w:rsid w:val="001D362D"/>
    <w:rsid w:val="001D4323"/>
    <w:rsid w:val="001D4392"/>
    <w:rsid w:val="001D491F"/>
    <w:rsid w:val="001D4AA9"/>
    <w:rsid w:val="001D4CB6"/>
    <w:rsid w:val="001D5F5E"/>
    <w:rsid w:val="001D6526"/>
    <w:rsid w:val="001D688F"/>
    <w:rsid w:val="001D7340"/>
    <w:rsid w:val="001D7445"/>
    <w:rsid w:val="001D759D"/>
    <w:rsid w:val="001D77C4"/>
    <w:rsid w:val="001D7E19"/>
    <w:rsid w:val="001E1364"/>
    <w:rsid w:val="001E14B5"/>
    <w:rsid w:val="001E1BE8"/>
    <w:rsid w:val="001E28F0"/>
    <w:rsid w:val="001E3505"/>
    <w:rsid w:val="001E49B0"/>
    <w:rsid w:val="001E4D6D"/>
    <w:rsid w:val="001E537E"/>
    <w:rsid w:val="001E5761"/>
    <w:rsid w:val="001E5780"/>
    <w:rsid w:val="001E68C4"/>
    <w:rsid w:val="001E6CCE"/>
    <w:rsid w:val="001E73D3"/>
    <w:rsid w:val="001E7FA3"/>
    <w:rsid w:val="001F0391"/>
    <w:rsid w:val="001F05D6"/>
    <w:rsid w:val="001F0756"/>
    <w:rsid w:val="001F17F0"/>
    <w:rsid w:val="001F1F1F"/>
    <w:rsid w:val="001F2AD5"/>
    <w:rsid w:val="001F2C60"/>
    <w:rsid w:val="001F3286"/>
    <w:rsid w:val="001F3BE8"/>
    <w:rsid w:val="001F3BED"/>
    <w:rsid w:val="001F4027"/>
    <w:rsid w:val="001F4E3D"/>
    <w:rsid w:val="001F515F"/>
    <w:rsid w:val="001F543F"/>
    <w:rsid w:val="001F583A"/>
    <w:rsid w:val="001F5A4D"/>
    <w:rsid w:val="001F608F"/>
    <w:rsid w:val="001F6322"/>
    <w:rsid w:val="0020018F"/>
    <w:rsid w:val="00200656"/>
    <w:rsid w:val="00200AF1"/>
    <w:rsid w:val="002016C7"/>
    <w:rsid w:val="002020D6"/>
    <w:rsid w:val="002028BD"/>
    <w:rsid w:val="00202925"/>
    <w:rsid w:val="00203139"/>
    <w:rsid w:val="00203863"/>
    <w:rsid w:val="002039C9"/>
    <w:rsid w:val="00203D1F"/>
    <w:rsid w:val="00203F75"/>
    <w:rsid w:val="00204452"/>
    <w:rsid w:val="00204EF2"/>
    <w:rsid w:val="002051F7"/>
    <w:rsid w:val="0020545D"/>
    <w:rsid w:val="002054A6"/>
    <w:rsid w:val="002059B2"/>
    <w:rsid w:val="00205A56"/>
    <w:rsid w:val="00205B18"/>
    <w:rsid w:val="00205CC5"/>
    <w:rsid w:val="00205D54"/>
    <w:rsid w:val="002063A9"/>
    <w:rsid w:val="00207044"/>
    <w:rsid w:val="00207525"/>
    <w:rsid w:val="00207A3D"/>
    <w:rsid w:val="00207DF0"/>
    <w:rsid w:val="00207F76"/>
    <w:rsid w:val="00210664"/>
    <w:rsid w:val="002114E4"/>
    <w:rsid w:val="002125F4"/>
    <w:rsid w:val="00213033"/>
    <w:rsid w:val="00213B7C"/>
    <w:rsid w:val="00214538"/>
    <w:rsid w:val="0021468F"/>
    <w:rsid w:val="002149D8"/>
    <w:rsid w:val="00215101"/>
    <w:rsid w:val="00215737"/>
    <w:rsid w:val="00215F02"/>
    <w:rsid w:val="002166D1"/>
    <w:rsid w:val="002168BF"/>
    <w:rsid w:val="002169AC"/>
    <w:rsid w:val="00216AFC"/>
    <w:rsid w:val="00217770"/>
    <w:rsid w:val="00217D9A"/>
    <w:rsid w:val="00220376"/>
    <w:rsid w:val="002203D4"/>
    <w:rsid w:val="00220C65"/>
    <w:rsid w:val="00220DE2"/>
    <w:rsid w:val="0022227A"/>
    <w:rsid w:val="00222464"/>
    <w:rsid w:val="0022270B"/>
    <w:rsid w:val="0022286D"/>
    <w:rsid w:val="00222CEA"/>
    <w:rsid w:val="00222F1B"/>
    <w:rsid w:val="0022354A"/>
    <w:rsid w:val="00223DD3"/>
    <w:rsid w:val="00223F6D"/>
    <w:rsid w:val="00224DE2"/>
    <w:rsid w:val="0022558A"/>
    <w:rsid w:val="0022568A"/>
    <w:rsid w:val="002260DB"/>
    <w:rsid w:val="00226D2D"/>
    <w:rsid w:val="00227202"/>
    <w:rsid w:val="00227313"/>
    <w:rsid w:val="002302A9"/>
    <w:rsid w:val="002317AA"/>
    <w:rsid w:val="00232069"/>
    <w:rsid w:val="00232252"/>
    <w:rsid w:val="00232953"/>
    <w:rsid w:val="00232BD1"/>
    <w:rsid w:val="0023396E"/>
    <w:rsid w:val="00234054"/>
    <w:rsid w:val="0023477A"/>
    <w:rsid w:val="00235A81"/>
    <w:rsid w:val="00235BBE"/>
    <w:rsid w:val="00235C56"/>
    <w:rsid w:val="002360A4"/>
    <w:rsid w:val="00236924"/>
    <w:rsid w:val="00236C6C"/>
    <w:rsid w:val="00236FF9"/>
    <w:rsid w:val="00237C9D"/>
    <w:rsid w:val="00237ECA"/>
    <w:rsid w:val="00237EEA"/>
    <w:rsid w:val="002400FD"/>
    <w:rsid w:val="0024058D"/>
    <w:rsid w:val="00240978"/>
    <w:rsid w:val="00240B66"/>
    <w:rsid w:val="00241D39"/>
    <w:rsid w:val="00241EE9"/>
    <w:rsid w:val="002422AB"/>
    <w:rsid w:val="00242EC1"/>
    <w:rsid w:val="00243259"/>
    <w:rsid w:val="002436F6"/>
    <w:rsid w:val="00243B39"/>
    <w:rsid w:val="00243B8F"/>
    <w:rsid w:val="00243BC7"/>
    <w:rsid w:val="00243E00"/>
    <w:rsid w:val="00243F75"/>
    <w:rsid w:val="002446A9"/>
    <w:rsid w:val="0024472E"/>
    <w:rsid w:val="00244B26"/>
    <w:rsid w:val="00244D34"/>
    <w:rsid w:val="0024511D"/>
    <w:rsid w:val="00245588"/>
    <w:rsid w:val="00245F61"/>
    <w:rsid w:val="002462CA"/>
    <w:rsid w:val="002465BA"/>
    <w:rsid w:val="002468C2"/>
    <w:rsid w:val="002470A8"/>
    <w:rsid w:val="002470F6"/>
    <w:rsid w:val="00247190"/>
    <w:rsid w:val="0024755D"/>
    <w:rsid w:val="002476F6"/>
    <w:rsid w:val="00250819"/>
    <w:rsid w:val="00250FDF"/>
    <w:rsid w:val="00251526"/>
    <w:rsid w:val="0025162F"/>
    <w:rsid w:val="00251930"/>
    <w:rsid w:val="00251CFA"/>
    <w:rsid w:val="00251ECE"/>
    <w:rsid w:val="00252332"/>
    <w:rsid w:val="002524F5"/>
    <w:rsid w:val="00252550"/>
    <w:rsid w:val="002539BF"/>
    <w:rsid w:val="00253F7A"/>
    <w:rsid w:val="002540D6"/>
    <w:rsid w:val="002540E8"/>
    <w:rsid w:val="0025465A"/>
    <w:rsid w:val="002558A9"/>
    <w:rsid w:val="0025611B"/>
    <w:rsid w:val="00256719"/>
    <w:rsid w:val="002567D2"/>
    <w:rsid w:val="00256822"/>
    <w:rsid w:val="002568F8"/>
    <w:rsid w:val="00256925"/>
    <w:rsid w:val="00256FC8"/>
    <w:rsid w:val="00260878"/>
    <w:rsid w:val="00260924"/>
    <w:rsid w:val="00261003"/>
    <w:rsid w:val="0026191D"/>
    <w:rsid w:val="0026218F"/>
    <w:rsid w:val="00262232"/>
    <w:rsid w:val="0026298D"/>
    <w:rsid w:val="00262DED"/>
    <w:rsid w:val="00263109"/>
    <w:rsid w:val="0026324E"/>
    <w:rsid w:val="00264168"/>
    <w:rsid w:val="002645DD"/>
    <w:rsid w:val="002646E3"/>
    <w:rsid w:val="0026473E"/>
    <w:rsid w:val="0026502D"/>
    <w:rsid w:val="00265E63"/>
    <w:rsid w:val="00265E91"/>
    <w:rsid w:val="00266863"/>
    <w:rsid w:val="002678E3"/>
    <w:rsid w:val="00270027"/>
    <w:rsid w:val="002704F9"/>
    <w:rsid w:val="002705E8"/>
    <w:rsid w:val="002706AF"/>
    <w:rsid w:val="00270BD3"/>
    <w:rsid w:val="00270BF4"/>
    <w:rsid w:val="0027202E"/>
    <w:rsid w:val="00272473"/>
    <w:rsid w:val="002739D3"/>
    <w:rsid w:val="00274899"/>
    <w:rsid w:val="00274D1B"/>
    <w:rsid w:val="00276A27"/>
    <w:rsid w:val="002777DE"/>
    <w:rsid w:val="00277EFD"/>
    <w:rsid w:val="00277F47"/>
    <w:rsid w:val="00281098"/>
    <w:rsid w:val="00281316"/>
    <w:rsid w:val="00281A4B"/>
    <w:rsid w:val="00281E99"/>
    <w:rsid w:val="002822F6"/>
    <w:rsid w:val="00282D19"/>
    <w:rsid w:val="00283175"/>
    <w:rsid w:val="00283492"/>
    <w:rsid w:val="00283E26"/>
    <w:rsid w:val="00284739"/>
    <w:rsid w:val="00284CB8"/>
    <w:rsid w:val="00285093"/>
    <w:rsid w:val="00285211"/>
    <w:rsid w:val="00285DA9"/>
    <w:rsid w:val="00285E25"/>
    <w:rsid w:val="002860F1"/>
    <w:rsid w:val="00286220"/>
    <w:rsid w:val="0028656C"/>
    <w:rsid w:val="0028665D"/>
    <w:rsid w:val="00286858"/>
    <w:rsid w:val="00287012"/>
    <w:rsid w:val="00287441"/>
    <w:rsid w:val="00290339"/>
    <w:rsid w:val="002907D2"/>
    <w:rsid w:val="002910BA"/>
    <w:rsid w:val="00291109"/>
    <w:rsid w:val="00291571"/>
    <w:rsid w:val="002919E3"/>
    <w:rsid w:val="0029238B"/>
    <w:rsid w:val="002925BA"/>
    <w:rsid w:val="0029288C"/>
    <w:rsid w:val="00292ECD"/>
    <w:rsid w:val="002941C6"/>
    <w:rsid w:val="00295013"/>
    <w:rsid w:val="00295237"/>
    <w:rsid w:val="00295598"/>
    <w:rsid w:val="00296237"/>
    <w:rsid w:val="00296A27"/>
    <w:rsid w:val="00296F7B"/>
    <w:rsid w:val="0029709D"/>
    <w:rsid w:val="0029778F"/>
    <w:rsid w:val="002978DD"/>
    <w:rsid w:val="00297C7F"/>
    <w:rsid w:val="00297F8B"/>
    <w:rsid w:val="002A0430"/>
    <w:rsid w:val="002A09C8"/>
    <w:rsid w:val="002A0D22"/>
    <w:rsid w:val="002A1142"/>
    <w:rsid w:val="002A12EC"/>
    <w:rsid w:val="002A17DC"/>
    <w:rsid w:val="002A2351"/>
    <w:rsid w:val="002A24E9"/>
    <w:rsid w:val="002A2966"/>
    <w:rsid w:val="002A3673"/>
    <w:rsid w:val="002A3A09"/>
    <w:rsid w:val="002A3E01"/>
    <w:rsid w:val="002A3E95"/>
    <w:rsid w:val="002A4EF2"/>
    <w:rsid w:val="002A5073"/>
    <w:rsid w:val="002A5236"/>
    <w:rsid w:val="002A5376"/>
    <w:rsid w:val="002A5607"/>
    <w:rsid w:val="002A5C45"/>
    <w:rsid w:val="002A5DC9"/>
    <w:rsid w:val="002A6110"/>
    <w:rsid w:val="002A64B4"/>
    <w:rsid w:val="002A6765"/>
    <w:rsid w:val="002A7ADA"/>
    <w:rsid w:val="002B0040"/>
    <w:rsid w:val="002B0910"/>
    <w:rsid w:val="002B0A69"/>
    <w:rsid w:val="002B12E9"/>
    <w:rsid w:val="002B153A"/>
    <w:rsid w:val="002B16A7"/>
    <w:rsid w:val="002B1CB1"/>
    <w:rsid w:val="002B32E4"/>
    <w:rsid w:val="002B361D"/>
    <w:rsid w:val="002B362A"/>
    <w:rsid w:val="002B3A8F"/>
    <w:rsid w:val="002B3C62"/>
    <w:rsid w:val="002B43E7"/>
    <w:rsid w:val="002B467D"/>
    <w:rsid w:val="002B496A"/>
    <w:rsid w:val="002B567C"/>
    <w:rsid w:val="002B5BC0"/>
    <w:rsid w:val="002B5E55"/>
    <w:rsid w:val="002B6563"/>
    <w:rsid w:val="002B6772"/>
    <w:rsid w:val="002B7327"/>
    <w:rsid w:val="002C0CA5"/>
    <w:rsid w:val="002C139D"/>
    <w:rsid w:val="002C247B"/>
    <w:rsid w:val="002C3358"/>
    <w:rsid w:val="002C4828"/>
    <w:rsid w:val="002C4A86"/>
    <w:rsid w:val="002C5ABB"/>
    <w:rsid w:val="002C5D18"/>
    <w:rsid w:val="002C67E4"/>
    <w:rsid w:val="002C6D6B"/>
    <w:rsid w:val="002C6F70"/>
    <w:rsid w:val="002C7517"/>
    <w:rsid w:val="002C7949"/>
    <w:rsid w:val="002D00D1"/>
    <w:rsid w:val="002D11C9"/>
    <w:rsid w:val="002D1CA9"/>
    <w:rsid w:val="002D34C7"/>
    <w:rsid w:val="002D3671"/>
    <w:rsid w:val="002D46E2"/>
    <w:rsid w:val="002D4BAC"/>
    <w:rsid w:val="002D4BC9"/>
    <w:rsid w:val="002D52B8"/>
    <w:rsid w:val="002D5C14"/>
    <w:rsid w:val="002D5DBC"/>
    <w:rsid w:val="002D5DD3"/>
    <w:rsid w:val="002D5E45"/>
    <w:rsid w:val="002D64B5"/>
    <w:rsid w:val="002D654D"/>
    <w:rsid w:val="002D6E92"/>
    <w:rsid w:val="002D7889"/>
    <w:rsid w:val="002E129A"/>
    <w:rsid w:val="002E1CAF"/>
    <w:rsid w:val="002E37C3"/>
    <w:rsid w:val="002E4378"/>
    <w:rsid w:val="002E483E"/>
    <w:rsid w:val="002E4ABC"/>
    <w:rsid w:val="002E505C"/>
    <w:rsid w:val="002E537F"/>
    <w:rsid w:val="002E5898"/>
    <w:rsid w:val="002E5AEF"/>
    <w:rsid w:val="002E6497"/>
    <w:rsid w:val="002E6A55"/>
    <w:rsid w:val="002E7158"/>
    <w:rsid w:val="002E76FB"/>
    <w:rsid w:val="002E7AC0"/>
    <w:rsid w:val="002F03F5"/>
    <w:rsid w:val="002F07D2"/>
    <w:rsid w:val="002F11AA"/>
    <w:rsid w:val="002F1920"/>
    <w:rsid w:val="002F3075"/>
    <w:rsid w:val="002F3AC0"/>
    <w:rsid w:val="002F3CA3"/>
    <w:rsid w:val="002F3CE8"/>
    <w:rsid w:val="002F48DD"/>
    <w:rsid w:val="002F5662"/>
    <w:rsid w:val="002F5C7F"/>
    <w:rsid w:val="002F6335"/>
    <w:rsid w:val="002F6641"/>
    <w:rsid w:val="002F6977"/>
    <w:rsid w:val="002F6A0A"/>
    <w:rsid w:val="002F6BD6"/>
    <w:rsid w:val="002F6CCA"/>
    <w:rsid w:val="002F76F0"/>
    <w:rsid w:val="00300EA8"/>
    <w:rsid w:val="00301069"/>
    <w:rsid w:val="00301D48"/>
    <w:rsid w:val="00302414"/>
    <w:rsid w:val="00302588"/>
    <w:rsid w:val="0030294E"/>
    <w:rsid w:val="00302C40"/>
    <w:rsid w:val="00302F8C"/>
    <w:rsid w:val="003033CB"/>
    <w:rsid w:val="00304A14"/>
    <w:rsid w:val="00304C76"/>
    <w:rsid w:val="00305348"/>
    <w:rsid w:val="00305A9D"/>
    <w:rsid w:val="00305FAF"/>
    <w:rsid w:val="003068E0"/>
    <w:rsid w:val="00306904"/>
    <w:rsid w:val="00306B08"/>
    <w:rsid w:val="00306B0C"/>
    <w:rsid w:val="00306FC4"/>
    <w:rsid w:val="00307369"/>
    <w:rsid w:val="00310A71"/>
    <w:rsid w:val="0031169A"/>
    <w:rsid w:val="003118B5"/>
    <w:rsid w:val="00312349"/>
    <w:rsid w:val="003126E1"/>
    <w:rsid w:val="003127C7"/>
    <w:rsid w:val="00312ABA"/>
    <w:rsid w:val="00313521"/>
    <w:rsid w:val="00313872"/>
    <w:rsid w:val="00313FBF"/>
    <w:rsid w:val="00314201"/>
    <w:rsid w:val="003145AA"/>
    <w:rsid w:val="00314B8F"/>
    <w:rsid w:val="0031522C"/>
    <w:rsid w:val="00316163"/>
    <w:rsid w:val="00316575"/>
    <w:rsid w:val="003168B1"/>
    <w:rsid w:val="003170EC"/>
    <w:rsid w:val="00317A3A"/>
    <w:rsid w:val="0032127E"/>
    <w:rsid w:val="003218D1"/>
    <w:rsid w:val="00321EF5"/>
    <w:rsid w:val="003225B2"/>
    <w:rsid w:val="00323CC2"/>
    <w:rsid w:val="00323F40"/>
    <w:rsid w:val="0032410F"/>
    <w:rsid w:val="003241CA"/>
    <w:rsid w:val="003244B2"/>
    <w:rsid w:val="00324543"/>
    <w:rsid w:val="00324578"/>
    <w:rsid w:val="003247CE"/>
    <w:rsid w:val="003247E2"/>
    <w:rsid w:val="0032564C"/>
    <w:rsid w:val="00326633"/>
    <w:rsid w:val="003269E1"/>
    <w:rsid w:val="003269E9"/>
    <w:rsid w:val="00326AE6"/>
    <w:rsid w:val="00326CDA"/>
    <w:rsid w:val="0032754F"/>
    <w:rsid w:val="00327973"/>
    <w:rsid w:val="00327A7B"/>
    <w:rsid w:val="00330452"/>
    <w:rsid w:val="00330FDA"/>
    <w:rsid w:val="003313CB"/>
    <w:rsid w:val="00332079"/>
    <w:rsid w:val="0033282B"/>
    <w:rsid w:val="00333131"/>
    <w:rsid w:val="003336C9"/>
    <w:rsid w:val="00333C13"/>
    <w:rsid w:val="003340B7"/>
    <w:rsid w:val="0033455B"/>
    <w:rsid w:val="00334A69"/>
    <w:rsid w:val="00335EE5"/>
    <w:rsid w:val="003362A4"/>
    <w:rsid w:val="0033636D"/>
    <w:rsid w:val="003364C9"/>
    <w:rsid w:val="003366B9"/>
    <w:rsid w:val="003372CF"/>
    <w:rsid w:val="00337AEC"/>
    <w:rsid w:val="003406C2"/>
    <w:rsid w:val="00340E25"/>
    <w:rsid w:val="00341836"/>
    <w:rsid w:val="00341C77"/>
    <w:rsid w:val="003422A7"/>
    <w:rsid w:val="00342C42"/>
    <w:rsid w:val="00343329"/>
    <w:rsid w:val="00343740"/>
    <w:rsid w:val="00343FA7"/>
    <w:rsid w:val="003443EE"/>
    <w:rsid w:val="00344734"/>
    <w:rsid w:val="0034482A"/>
    <w:rsid w:val="00344953"/>
    <w:rsid w:val="00345AD6"/>
    <w:rsid w:val="0034636C"/>
    <w:rsid w:val="00346430"/>
    <w:rsid w:val="0034690D"/>
    <w:rsid w:val="00346E60"/>
    <w:rsid w:val="003477CB"/>
    <w:rsid w:val="00347CB6"/>
    <w:rsid w:val="00347CF1"/>
    <w:rsid w:val="003507FF"/>
    <w:rsid w:val="00350EC7"/>
    <w:rsid w:val="00351100"/>
    <w:rsid w:val="00351479"/>
    <w:rsid w:val="00351D8B"/>
    <w:rsid w:val="00351E3E"/>
    <w:rsid w:val="00352035"/>
    <w:rsid w:val="00352A41"/>
    <w:rsid w:val="00352D91"/>
    <w:rsid w:val="00352D9C"/>
    <w:rsid w:val="003532EF"/>
    <w:rsid w:val="00353339"/>
    <w:rsid w:val="00353948"/>
    <w:rsid w:val="00354B7B"/>
    <w:rsid w:val="00354C1C"/>
    <w:rsid w:val="00354CD6"/>
    <w:rsid w:val="00355171"/>
    <w:rsid w:val="00355A16"/>
    <w:rsid w:val="00355FC7"/>
    <w:rsid w:val="003564F9"/>
    <w:rsid w:val="003567FB"/>
    <w:rsid w:val="00356898"/>
    <w:rsid w:val="00356D8D"/>
    <w:rsid w:val="00357BFE"/>
    <w:rsid w:val="00357C41"/>
    <w:rsid w:val="00357C79"/>
    <w:rsid w:val="0036013D"/>
    <w:rsid w:val="00360654"/>
    <w:rsid w:val="00360943"/>
    <w:rsid w:val="003611D6"/>
    <w:rsid w:val="00361662"/>
    <w:rsid w:val="00361A39"/>
    <w:rsid w:val="00361A4D"/>
    <w:rsid w:val="00362376"/>
    <w:rsid w:val="00362BFE"/>
    <w:rsid w:val="00363A0D"/>
    <w:rsid w:val="00363ACE"/>
    <w:rsid w:val="00364168"/>
    <w:rsid w:val="003649CD"/>
    <w:rsid w:val="0036506A"/>
    <w:rsid w:val="00365DB8"/>
    <w:rsid w:val="0036609F"/>
    <w:rsid w:val="00366D9C"/>
    <w:rsid w:val="003677D9"/>
    <w:rsid w:val="00367935"/>
    <w:rsid w:val="00367E95"/>
    <w:rsid w:val="0037048B"/>
    <w:rsid w:val="003707B0"/>
    <w:rsid w:val="00370B50"/>
    <w:rsid w:val="00370D8F"/>
    <w:rsid w:val="00370D9A"/>
    <w:rsid w:val="003712B8"/>
    <w:rsid w:val="00372ED6"/>
    <w:rsid w:val="0037332C"/>
    <w:rsid w:val="00373D57"/>
    <w:rsid w:val="00374674"/>
    <w:rsid w:val="00374A97"/>
    <w:rsid w:val="00374FC5"/>
    <w:rsid w:val="0037581C"/>
    <w:rsid w:val="00375838"/>
    <w:rsid w:val="00375888"/>
    <w:rsid w:val="00375961"/>
    <w:rsid w:val="00375AAF"/>
    <w:rsid w:val="0037611E"/>
    <w:rsid w:val="0037626A"/>
    <w:rsid w:val="00376B5C"/>
    <w:rsid w:val="00376BE3"/>
    <w:rsid w:val="00376D8C"/>
    <w:rsid w:val="003772B6"/>
    <w:rsid w:val="00377362"/>
    <w:rsid w:val="00377A93"/>
    <w:rsid w:val="00377BE2"/>
    <w:rsid w:val="003814FC"/>
    <w:rsid w:val="00381533"/>
    <w:rsid w:val="00382EE4"/>
    <w:rsid w:val="00383ABB"/>
    <w:rsid w:val="00384903"/>
    <w:rsid w:val="00384D0A"/>
    <w:rsid w:val="00385C26"/>
    <w:rsid w:val="003860BA"/>
    <w:rsid w:val="00386F15"/>
    <w:rsid w:val="0038712B"/>
    <w:rsid w:val="0038737E"/>
    <w:rsid w:val="00387504"/>
    <w:rsid w:val="00387577"/>
    <w:rsid w:val="003902F0"/>
    <w:rsid w:val="0039036F"/>
    <w:rsid w:val="00390A6E"/>
    <w:rsid w:val="00390C5F"/>
    <w:rsid w:val="00391206"/>
    <w:rsid w:val="00391D8C"/>
    <w:rsid w:val="00391E8A"/>
    <w:rsid w:val="00392366"/>
    <w:rsid w:val="00392C3E"/>
    <w:rsid w:val="00392D0C"/>
    <w:rsid w:val="00392FD8"/>
    <w:rsid w:val="003943E4"/>
    <w:rsid w:val="0039480D"/>
    <w:rsid w:val="003948A9"/>
    <w:rsid w:val="00394A95"/>
    <w:rsid w:val="00395713"/>
    <w:rsid w:val="00395F70"/>
    <w:rsid w:val="003970C9"/>
    <w:rsid w:val="00397515"/>
    <w:rsid w:val="00397906"/>
    <w:rsid w:val="00397AE6"/>
    <w:rsid w:val="00397DA7"/>
    <w:rsid w:val="003A17D6"/>
    <w:rsid w:val="003A1B62"/>
    <w:rsid w:val="003A2255"/>
    <w:rsid w:val="003A27B4"/>
    <w:rsid w:val="003A2A9C"/>
    <w:rsid w:val="003A3568"/>
    <w:rsid w:val="003A38CE"/>
    <w:rsid w:val="003A4156"/>
    <w:rsid w:val="003A4E5B"/>
    <w:rsid w:val="003A52BC"/>
    <w:rsid w:val="003A52C0"/>
    <w:rsid w:val="003A5CCD"/>
    <w:rsid w:val="003A633E"/>
    <w:rsid w:val="003A6E2E"/>
    <w:rsid w:val="003A704D"/>
    <w:rsid w:val="003A7510"/>
    <w:rsid w:val="003A7ADE"/>
    <w:rsid w:val="003A7D66"/>
    <w:rsid w:val="003B00E4"/>
    <w:rsid w:val="003B011E"/>
    <w:rsid w:val="003B01D2"/>
    <w:rsid w:val="003B0CA5"/>
    <w:rsid w:val="003B0CC4"/>
    <w:rsid w:val="003B1BB1"/>
    <w:rsid w:val="003B247F"/>
    <w:rsid w:val="003B28F2"/>
    <w:rsid w:val="003B2955"/>
    <w:rsid w:val="003B33B4"/>
    <w:rsid w:val="003B34B0"/>
    <w:rsid w:val="003B36BE"/>
    <w:rsid w:val="003B42D8"/>
    <w:rsid w:val="003B4929"/>
    <w:rsid w:val="003B5A74"/>
    <w:rsid w:val="003B685C"/>
    <w:rsid w:val="003B7AC9"/>
    <w:rsid w:val="003B7C68"/>
    <w:rsid w:val="003C0980"/>
    <w:rsid w:val="003C0E89"/>
    <w:rsid w:val="003C11D7"/>
    <w:rsid w:val="003C1C4D"/>
    <w:rsid w:val="003C1E74"/>
    <w:rsid w:val="003C2A58"/>
    <w:rsid w:val="003C300A"/>
    <w:rsid w:val="003C39DB"/>
    <w:rsid w:val="003C3C19"/>
    <w:rsid w:val="003C40E5"/>
    <w:rsid w:val="003C44DA"/>
    <w:rsid w:val="003C52BE"/>
    <w:rsid w:val="003C601E"/>
    <w:rsid w:val="003C61A8"/>
    <w:rsid w:val="003C676D"/>
    <w:rsid w:val="003C6EFC"/>
    <w:rsid w:val="003C7157"/>
    <w:rsid w:val="003C7BFF"/>
    <w:rsid w:val="003D0439"/>
    <w:rsid w:val="003D1402"/>
    <w:rsid w:val="003D16C6"/>
    <w:rsid w:val="003D178F"/>
    <w:rsid w:val="003D193F"/>
    <w:rsid w:val="003D1EF4"/>
    <w:rsid w:val="003D3B97"/>
    <w:rsid w:val="003D41A0"/>
    <w:rsid w:val="003D4C08"/>
    <w:rsid w:val="003D53AC"/>
    <w:rsid w:val="003D5606"/>
    <w:rsid w:val="003D5AC3"/>
    <w:rsid w:val="003D5B42"/>
    <w:rsid w:val="003D654E"/>
    <w:rsid w:val="003D69CB"/>
    <w:rsid w:val="003D6C8F"/>
    <w:rsid w:val="003D739A"/>
    <w:rsid w:val="003D7794"/>
    <w:rsid w:val="003D7F2B"/>
    <w:rsid w:val="003E04D2"/>
    <w:rsid w:val="003E0BDF"/>
    <w:rsid w:val="003E113D"/>
    <w:rsid w:val="003E1792"/>
    <w:rsid w:val="003E2048"/>
    <w:rsid w:val="003E2541"/>
    <w:rsid w:val="003E3D7E"/>
    <w:rsid w:val="003E3F5F"/>
    <w:rsid w:val="003E45EB"/>
    <w:rsid w:val="003E564F"/>
    <w:rsid w:val="003E5C98"/>
    <w:rsid w:val="003E5F97"/>
    <w:rsid w:val="003E6A94"/>
    <w:rsid w:val="003E6E36"/>
    <w:rsid w:val="003F0B16"/>
    <w:rsid w:val="003F2916"/>
    <w:rsid w:val="003F2A26"/>
    <w:rsid w:val="003F2C6A"/>
    <w:rsid w:val="003F38DE"/>
    <w:rsid w:val="003F3CE5"/>
    <w:rsid w:val="003F3D1C"/>
    <w:rsid w:val="003F5952"/>
    <w:rsid w:val="003F5A02"/>
    <w:rsid w:val="003F5A25"/>
    <w:rsid w:val="003F5DA3"/>
    <w:rsid w:val="003F5E2E"/>
    <w:rsid w:val="003F764C"/>
    <w:rsid w:val="003F79AB"/>
    <w:rsid w:val="003F7E75"/>
    <w:rsid w:val="004000ED"/>
    <w:rsid w:val="0040058B"/>
    <w:rsid w:val="004007D1"/>
    <w:rsid w:val="00400ECB"/>
    <w:rsid w:val="00401165"/>
    <w:rsid w:val="00401910"/>
    <w:rsid w:val="00401D88"/>
    <w:rsid w:val="00401E19"/>
    <w:rsid w:val="004020B7"/>
    <w:rsid w:val="00402902"/>
    <w:rsid w:val="00402C94"/>
    <w:rsid w:val="00402E20"/>
    <w:rsid w:val="0040304C"/>
    <w:rsid w:val="004032B9"/>
    <w:rsid w:val="004036ED"/>
    <w:rsid w:val="00404BBD"/>
    <w:rsid w:val="00404DF9"/>
    <w:rsid w:val="004050B1"/>
    <w:rsid w:val="00405362"/>
    <w:rsid w:val="00405823"/>
    <w:rsid w:val="00405B49"/>
    <w:rsid w:val="00405F51"/>
    <w:rsid w:val="0040640F"/>
    <w:rsid w:val="00406784"/>
    <w:rsid w:val="0040685F"/>
    <w:rsid w:val="00410CAE"/>
    <w:rsid w:val="00410DA5"/>
    <w:rsid w:val="00411261"/>
    <w:rsid w:val="0041190E"/>
    <w:rsid w:val="004119C3"/>
    <w:rsid w:val="00412481"/>
    <w:rsid w:val="00412FB5"/>
    <w:rsid w:val="00414454"/>
    <w:rsid w:val="004149FD"/>
    <w:rsid w:val="00414B7C"/>
    <w:rsid w:val="0041586C"/>
    <w:rsid w:val="00415B0D"/>
    <w:rsid w:val="00415B6F"/>
    <w:rsid w:val="00417184"/>
    <w:rsid w:val="004202ED"/>
    <w:rsid w:val="00420A97"/>
    <w:rsid w:val="0042176B"/>
    <w:rsid w:val="00421C6B"/>
    <w:rsid w:val="00423412"/>
    <w:rsid w:val="0042352B"/>
    <w:rsid w:val="00423B17"/>
    <w:rsid w:val="00423CB7"/>
    <w:rsid w:val="0042439C"/>
    <w:rsid w:val="00424500"/>
    <w:rsid w:val="00424C3F"/>
    <w:rsid w:val="0042565C"/>
    <w:rsid w:val="00425838"/>
    <w:rsid w:val="00425AAE"/>
    <w:rsid w:val="00425F02"/>
    <w:rsid w:val="0043001D"/>
    <w:rsid w:val="0043006B"/>
    <w:rsid w:val="004302C7"/>
    <w:rsid w:val="004303C3"/>
    <w:rsid w:val="00430454"/>
    <w:rsid w:val="00430562"/>
    <w:rsid w:val="00431305"/>
    <w:rsid w:val="004318F1"/>
    <w:rsid w:val="00431E1A"/>
    <w:rsid w:val="00432E7C"/>
    <w:rsid w:val="0043394B"/>
    <w:rsid w:val="00433CD8"/>
    <w:rsid w:val="00434289"/>
    <w:rsid w:val="0043432E"/>
    <w:rsid w:val="00434D7A"/>
    <w:rsid w:val="00434DF6"/>
    <w:rsid w:val="004359C5"/>
    <w:rsid w:val="004360AA"/>
    <w:rsid w:val="00437E40"/>
    <w:rsid w:val="00440CC9"/>
    <w:rsid w:val="00441304"/>
    <w:rsid w:val="00441457"/>
    <w:rsid w:val="0044147D"/>
    <w:rsid w:val="00442CF1"/>
    <w:rsid w:val="00442DB1"/>
    <w:rsid w:val="004430DE"/>
    <w:rsid w:val="004430F7"/>
    <w:rsid w:val="00443209"/>
    <w:rsid w:val="00443626"/>
    <w:rsid w:val="0044460B"/>
    <w:rsid w:val="0044467D"/>
    <w:rsid w:val="00444E87"/>
    <w:rsid w:val="00445A67"/>
    <w:rsid w:val="0044716F"/>
    <w:rsid w:val="00450504"/>
    <w:rsid w:val="0045077B"/>
    <w:rsid w:val="00450874"/>
    <w:rsid w:val="00450E9A"/>
    <w:rsid w:val="0045148D"/>
    <w:rsid w:val="00452044"/>
    <w:rsid w:val="00452768"/>
    <w:rsid w:val="00452831"/>
    <w:rsid w:val="00453380"/>
    <w:rsid w:val="00453B96"/>
    <w:rsid w:val="00453FB7"/>
    <w:rsid w:val="004547CF"/>
    <w:rsid w:val="00454D84"/>
    <w:rsid w:val="0045511D"/>
    <w:rsid w:val="00455318"/>
    <w:rsid w:val="00455344"/>
    <w:rsid w:val="00455A8F"/>
    <w:rsid w:val="00455AE7"/>
    <w:rsid w:val="00455B77"/>
    <w:rsid w:val="00455C4C"/>
    <w:rsid w:val="00455E1E"/>
    <w:rsid w:val="00455FDB"/>
    <w:rsid w:val="00456400"/>
    <w:rsid w:val="00456E06"/>
    <w:rsid w:val="00456F97"/>
    <w:rsid w:val="00457450"/>
    <w:rsid w:val="00460B68"/>
    <w:rsid w:val="00460FE9"/>
    <w:rsid w:val="0046171B"/>
    <w:rsid w:val="004617D3"/>
    <w:rsid w:val="00461A00"/>
    <w:rsid w:val="00462066"/>
    <w:rsid w:val="0046235E"/>
    <w:rsid w:val="00462422"/>
    <w:rsid w:val="004632A8"/>
    <w:rsid w:val="00463A74"/>
    <w:rsid w:val="00463D6E"/>
    <w:rsid w:val="00464911"/>
    <w:rsid w:val="00464950"/>
    <w:rsid w:val="004663B8"/>
    <w:rsid w:val="00466718"/>
    <w:rsid w:val="00466952"/>
    <w:rsid w:val="00466DBF"/>
    <w:rsid w:val="004670CD"/>
    <w:rsid w:val="00467AFB"/>
    <w:rsid w:val="004706F9"/>
    <w:rsid w:val="00470D82"/>
    <w:rsid w:val="00470F13"/>
    <w:rsid w:val="00471514"/>
    <w:rsid w:val="00471615"/>
    <w:rsid w:val="00471A9C"/>
    <w:rsid w:val="00471C31"/>
    <w:rsid w:val="00471EE8"/>
    <w:rsid w:val="004727AE"/>
    <w:rsid w:val="004727F6"/>
    <w:rsid w:val="0047339F"/>
    <w:rsid w:val="0047358C"/>
    <w:rsid w:val="004737A0"/>
    <w:rsid w:val="00473B12"/>
    <w:rsid w:val="00474BF0"/>
    <w:rsid w:val="00474C14"/>
    <w:rsid w:val="00475107"/>
    <w:rsid w:val="00475B02"/>
    <w:rsid w:val="004762FD"/>
    <w:rsid w:val="0047645D"/>
    <w:rsid w:val="004765AA"/>
    <w:rsid w:val="00476633"/>
    <w:rsid w:val="004768AD"/>
    <w:rsid w:val="00477A41"/>
    <w:rsid w:val="00477FB8"/>
    <w:rsid w:val="00480B51"/>
    <w:rsid w:val="00480F52"/>
    <w:rsid w:val="00481746"/>
    <w:rsid w:val="00481D25"/>
    <w:rsid w:val="00483218"/>
    <w:rsid w:val="004836A4"/>
    <w:rsid w:val="00483B73"/>
    <w:rsid w:val="004840F0"/>
    <w:rsid w:val="00484218"/>
    <w:rsid w:val="00484FFE"/>
    <w:rsid w:val="00485206"/>
    <w:rsid w:val="0048594F"/>
    <w:rsid w:val="00486679"/>
    <w:rsid w:val="004866E5"/>
    <w:rsid w:val="00486A96"/>
    <w:rsid w:val="0048740D"/>
    <w:rsid w:val="00487D5D"/>
    <w:rsid w:val="00490C0E"/>
    <w:rsid w:val="00491785"/>
    <w:rsid w:val="0049298E"/>
    <w:rsid w:val="00493339"/>
    <w:rsid w:val="00493D43"/>
    <w:rsid w:val="004940B8"/>
    <w:rsid w:val="00494136"/>
    <w:rsid w:val="004947D1"/>
    <w:rsid w:val="00494B91"/>
    <w:rsid w:val="00494F54"/>
    <w:rsid w:val="00494FF7"/>
    <w:rsid w:val="00495B56"/>
    <w:rsid w:val="00496815"/>
    <w:rsid w:val="004968DA"/>
    <w:rsid w:val="00496B92"/>
    <w:rsid w:val="00496C76"/>
    <w:rsid w:val="00496E72"/>
    <w:rsid w:val="00496E9D"/>
    <w:rsid w:val="004A07EC"/>
    <w:rsid w:val="004A111F"/>
    <w:rsid w:val="004A1C26"/>
    <w:rsid w:val="004A1F97"/>
    <w:rsid w:val="004A26F4"/>
    <w:rsid w:val="004A290C"/>
    <w:rsid w:val="004A2F6E"/>
    <w:rsid w:val="004A31C7"/>
    <w:rsid w:val="004A33A2"/>
    <w:rsid w:val="004A3D69"/>
    <w:rsid w:val="004A3E58"/>
    <w:rsid w:val="004A3EE7"/>
    <w:rsid w:val="004A4466"/>
    <w:rsid w:val="004A553F"/>
    <w:rsid w:val="004A59EA"/>
    <w:rsid w:val="004A6AB8"/>
    <w:rsid w:val="004A73BF"/>
    <w:rsid w:val="004B066D"/>
    <w:rsid w:val="004B1142"/>
    <w:rsid w:val="004B16AE"/>
    <w:rsid w:val="004B1BFB"/>
    <w:rsid w:val="004B23AA"/>
    <w:rsid w:val="004B2921"/>
    <w:rsid w:val="004B320E"/>
    <w:rsid w:val="004B34A0"/>
    <w:rsid w:val="004B38CD"/>
    <w:rsid w:val="004B3C54"/>
    <w:rsid w:val="004B3DA6"/>
    <w:rsid w:val="004B465B"/>
    <w:rsid w:val="004B4A9A"/>
    <w:rsid w:val="004B4DE0"/>
    <w:rsid w:val="004B4DEA"/>
    <w:rsid w:val="004B54D9"/>
    <w:rsid w:val="004B6924"/>
    <w:rsid w:val="004B76FF"/>
    <w:rsid w:val="004C00E7"/>
    <w:rsid w:val="004C04E9"/>
    <w:rsid w:val="004C052C"/>
    <w:rsid w:val="004C1EA0"/>
    <w:rsid w:val="004C2174"/>
    <w:rsid w:val="004C25A9"/>
    <w:rsid w:val="004C2968"/>
    <w:rsid w:val="004C40BA"/>
    <w:rsid w:val="004C5181"/>
    <w:rsid w:val="004C548C"/>
    <w:rsid w:val="004C560A"/>
    <w:rsid w:val="004C5C2A"/>
    <w:rsid w:val="004C60BD"/>
    <w:rsid w:val="004C69B7"/>
    <w:rsid w:val="004C6C38"/>
    <w:rsid w:val="004C6FBB"/>
    <w:rsid w:val="004C7000"/>
    <w:rsid w:val="004C71C5"/>
    <w:rsid w:val="004C7B4C"/>
    <w:rsid w:val="004D021C"/>
    <w:rsid w:val="004D09BE"/>
    <w:rsid w:val="004D162B"/>
    <w:rsid w:val="004D177D"/>
    <w:rsid w:val="004D17EC"/>
    <w:rsid w:val="004D1832"/>
    <w:rsid w:val="004D18FF"/>
    <w:rsid w:val="004D1E17"/>
    <w:rsid w:val="004D2540"/>
    <w:rsid w:val="004D269D"/>
    <w:rsid w:val="004D2941"/>
    <w:rsid w:val="004D35CC"/>
    <w:rsid w:val="004D38A1"/>
    <w:rsid w:val="004D3908"/>
    <w:rsid w:val="004D4319"/>
    <w:rsid w:val="004D4478"/>
    <w:rsid w:val="004D4632"/>
    <w:rsid w:val="004D475F"/>
    <w:rsid w:val="004D51D5"/>
    <w:rsid w:val="004D5F6D"/>
    <w:rsid w:val="004D66C8"/>
    <w:rsid w:val="004D6734"/>
    <w:rsid w:val="004D77A8"/>
    <w:rsid w:val="004D7A93"/>
    <w:rsid w:val="004E02F4"/>
    <w:rsid w:val="004E0C76"/>
    <w:rsid w:val="004E0C81"/>
    <w:rsid w:val="004E108E"/>
    <w:rsid w:val="004E1720"/>
    <w:rsid w:val="004E1FE2"/>
    <w:rsid w:val="004E2232"/>
    <w:rsid w:val="004E233D"/>
    <w:rsid w:val="004E246D"/>
    <w:rsid w:val="004E252F"/>
    <w:rsid w:val="004E25F2"/>
    <w:rsid w:val="004E2843"/>
    <w:rsid w:val="004E2A22"/>
    <w:rsid w:val="004E38A4"/>
    <w:rsid w:val="004E3D88"/>
    <w:rsid w:val="004E5465"/>
    <w:rsid w:val="004E5E4F"/>
    <w:rsid w:val="004E67B5"/>
    <w:rsid w:val="004E736C"/>
    <w:rsid w:val="004E78D7"/>
    <w:rsid w:val="004E7CCE"/>
    <w:rsid w:val="004E7CEA"/>
    <w:rsid w:val="004E7DB0"/>
    <w:rsid w:val="004F0268"/>
    <w:rsid w:val="004F046E"/>
    <w:rsid w:val="004F1C5E"/>
    <w:rsid w:val="004F1D27"/>
    <w:rsid w:val="004F210C"/>
    <w:rsid w:val="004F2206"/>
    <w:rsid w:val="004F22D1"/>
    <w:rsid w:val="004F240A"/>
    <w:rsid w:val="004F31D3"/>
    <w:rsid w:val="004F3C6F"/>
    <w:rsid w:val="004F3F35"/>
    <w:rsid w:val="004F4815"/>
    <w:rsid w:val="004F4D1D"/>
    <w:rsid w:val="004F5470"/>
    <w:rsid w:val="004F5750"/>
    <w:rsid w:val="004F5E3E"/>
    <w:rsid w:val="004F6383"/>
    <w:rsid w:val="004F6634"/>
    <w:rsid w:val="004F7127"/>
    <w:rsid w:val="004F71C5"/>
    <w:rsid w:val="004F7243"/>
    <w:rsid w:val="004F73B4"/>
    <w:rsid w:val="004F7965"/>
    <w:rsid w:val="005006E5"/>
    <w:rsid w:val="0050132C"/>
    <w:rsid w:val="005014C3"/>
    <w:rsid w:val="0050152E"/>
    <w:rsid w:val="00501858"/>
    <w:rsid w:val="00501D93"/>
    <w:rsid w:val="005026B8"/>
    <w:rsid w:val="0050270A"/>
    <w:rsid w:val="00502E99"/>
    <w:rsid w:val="00502F31"/>
    <w:rsid w:val="00504366"/>
    <w:rsid w:val="005048D7"/>
    <w:rsid w:val="00504958"/>
    <w:rsid w:val="00504A0C"/>
    <w:rsid w:val="00504CD2"/>
    <w:rsid w:val="00505357"/>
    <w:rsid w:val="00505D00"/>
    <w:rsid w:val="005070F4"/>
    <w:rsid w:val="00507343"/>
    <w:rsid w:val="0050757D"/>
    <w:rsid w:val="00507F7E"/>
    <w:rsid w:val="005112F3"/>
    <w:rsid w:val="00511D75"/>
    <w:rsid w:val="00511F71"/>
    <w:rsid w:val="005121A1"/>
    <w:rsid w:val="00512742"/>
    <w:rsid w:val="00512EC5"/>
    <w:rsid w:val="005131A4"/>
    <w:rsid w:val="005135A2"/>
    <w:rsid w:val="00513AD7"/>
    <w:rsid w:val="00514E0F"/>
    <w:rsid w:val="0051538A"/>
    <w:rsid w:val="005157C4"/>
    <w:rsid w:val="00516239"/>
    <w:rsid w:val="00517A39"/>
    <w:rsid w:val="00517DFF"/>
    <w:rsid w:val="00521106"/>
    <w:rsid w:val="00522BF8"/>
    <w:rsid w:val="00522D75"/>
    <w:rsid w:val="005239F8"/>
    <w:rsid w:val="00523E89"/>
    <w:rsid w:val="00523F64"/>
    <w:rsid w:val="00524477"/>
    <w:rsid w:val="0052478D"/>
    <w:rsid w:val="0052480D"/>
    <w:rsid w:val="00524FE0"/>
    <w:rsid w:val="00525426"/>
    <w:rsid w:val="00525F48"/>
    <w:rsid w:val="0052701E"/>
    <w:rsid w:val="005274D9"/>
    <w:rsid w:val="005279F8"/>
    <w:rsid w:val="005300F5"/>
    <w:rsid w:val="00530182"/>
    <w:rsid w:val="00530B50"/>
    <w:rsid w:val="00530EC4"/>
    <w:rsid w:val="005311B3"/>
    <w:rsid w:val="005321E4"/>
    <w:rsid w:val="005325C9"/>
    <w:rsid w:val="00532B39"/>
    <w:rsid w:val="005339A4"/>
    <w:rsid w:val="00533FA6"/>
    <w:rsid w:val="00533FCF"/>
    <w:rsid w:val="005342C0"/>
    <w:rsid w:val="0053455C"/>
    <w:rsid w:val="00534B22"/>
    <w:rsid w:val="00534E28"/>
    <w:rsid w:val="0053525D"/>
    <w:rsid w:val="005355DE"/>
    <w:rsid w:val="00535C43"/>
    <w:rsid w:val="00535DF3"/>
    <w:rsid w:val="005364BF"/>
    <w:rsid w:val="00536850"/>
    <w:rsid w:val="005368A0"/>
    <w:rsid w:val="00536B3A"/>
    <w:rsid w:val="00536E77"/>
    <w:rsid w:val="00537742"/>
    <w:rsid w:val="005377D0"/>
    <w:rsid w:val="00537E07"/>
    <w:rsid w:val="00537F60"/>
    <w:rsid w:val="00540496"/>
    <w:rsid w:val="00540ACE"/>
    <w:rsid w:val="005413DE"/>
    <w:rsid w:val="0054163B"/>
    <w:rsid w:val="0054172D"/>
    <w:rsid w:val="005430A7"/>
    <w:rsid w:val="005442B8"/>
    <w:rsid w:val="005447DC"/>
    <w:rsid w:val="005450F7"/>
    <w:rsid w:val="005453F7"/>
    <w:rsid w:val="00545721"/>
    <w:rsid w:val="00545A84"/>
    <w:rsid w:val="00546375"/>
    <w:rsid w:val="0054667B"/>
    <w:rsid w:val="005467C8"/>
    <w:rsid w:val="005469DE"/>
    <w:rsid w:val="00546EF2"/>
    <w:rsid w:val="00547180"/>
    <w:rsid w:val="00547401"/>
    <w:rsid w:val="0054750B"/>
    <w:rsid w:val="00547551"/>
    <w:rsid w:val="00547FA0"/>
    <w:rsid w:val="00550067"/>
    <w:rsid w:val="005502F1"/>
    <w:rsid w:val="005510E2"/>
    <w:rsid w:val="005513D8"/>
    <w:rsid w:val="00551887"/>
    <w:rsid w:val="00551F1E"/>
    <w:rsid w:val="00552377"/>
    <w:rsid w:val="0055262E"/>
    <w:rsid w:val="005526C8"/>
    <w:rsid w:val="005527F2"/>
    <w:rsid w:val="00552C50"/>
    <w:rsid w:val="00552E6D"/>
    <w:rsid w:val="00553592"/>
    <w:rsid w:val="00553611"/>
    <w:rsid w:val="005541B4"/>
    <w:rsid w:val="005547E2"/>
    <w:rsid w:val="00554CE4"/>
    <w:rsid w:val="00555857"/>
    <w:rsid w:val="00555A91"/>
    <w:rsid w:val="00555D55"/>
    <w:rsid w:val="0055610B"/>
    <w:rsid w:val="005561A9"/>
    <w:rsid w:val="005561AE"/>
    <w:rsid w:val="00556AC2"/>
    <w:rsid w:val="00556D76"/>
    <w:rsid w:val="00556D93"/>
    <w:rsid w:val="00556E18"/>
    <w:rsid w:val="00557580"/>
    <w:rsid w:val="00557621"/>
    <w:rsid w:val="00557691"/>
    <w:rsid w:val="00557BEF"/>
    <w:rsid w:val="005608C0"/>
    <w:rsid w:val="005611BB"/>
    <w:rsid w:val="00562813"/>
    <w:rsid w:val="00562EA8"/>
    <w:rsid w:val="0056318A"/>
    <w:rsid w:val="00563443"/>
    <w:rsid w:val="00563AFA"/>
    <w:rsid w:val="00563FCD"/>
    <w:rsid w:val="00564676"/>
    <w:rsid w:val="005659D8"/>
    <w:rsid w:val="00566166"/>
    <w:rsid w:val="00566BBF"/>
    <w:rsid w:val="00566DD3"/>
    <w:rsid w:val="005676BE"/>
    <w:rsid w:val="005701C1"/>
    <w:rsid w:val="005702AC"/>
    <w:rsid w:val="005708A6"/>
    <w:rsid w:val="00570BE9"/>
    <w:rsid w:val="005719B6"/>
    <w:rsid w:val="00571B56"/>
    <w:rsid w:val="005724F0"/>
    <w:rsid w:val="0057288A"/>
    <w:rsid w:val="00572FDD"/>
    <w:rsid w:val="00573B84"/>
    <w:rsid w:val="00573BE2"/>
    <w:rsid w:val="00573E22"/>
    <w:rsid w:val="00573FD6"/>
    <w:rsid w:val="005742D3"/>
    <w:rsid w:val="00575EDA"/>
    <w:rsid w:val="005760A0"/>
    <w:rsid w:val="00577BC0"/>
    <w:rsid w:val="00577F34"/>
    <w:rsid w:val="005810CC"/>
    <w:rsid w:val="005810E4"/>
    <w:rsid w:val="00581AE0"/>
    <w:rsid w:val="00581B76"/>
    <w:rsid w:val="00581D3A"/>
    <w:rsid w:val="00582858"/>
    <w:rsid w:val="0058385F"/>
    <w:rsid w:val="00583F82"/>
    <w:rsid w:val="0058476E"/>
    <w:rsid w:val="00584893"/>
    <w:rsid w:val="00584D42"/>
    <w:rsid w:val="005854C6"/>
    <w:rsid w:val="00585A5D"/>
    <w:rsid w:val="00585C84"/>
    <w:rsid w:val="0058617A"/>
    <w:rsid w:val="00586BAD"/>
    <w:rsid w:val="00586FC5"/>
    <w:rsid w:val="005874C9"/>
    <w:rsid w:val="0058764A"/>
    <w:rsid w:val="00590B5D"/>
    <w:rsid w:val="005910FB"/>
    <w:rsid w:val="00592300"/>
    <w:rsid w:val="00593657"/>
    <w:rsid w:val="005938A4"/>
    <w:rsid w:val="005949FF"/>
    <w:rsid w:val="0059584A"/>
    <w:rsid w:val="005967BC"/>
    <w:rsid w:val="005976F1"/>
    <w:rsid w:val="005977BE"/>
    <w:rsid w:val="005977FF"/>
    <w:rsid w:val="005A103C"/>
    <w:rsid w:val="005A1DFD"/>
    <w:rsid w:val="005A21C8"/>
    <w:rsid w:val="005A27B6"/>
    <w:rsid w:val="005A2C24"/>
    <w:rsid w:val="005A3703"/>
    <w:rsid w:val="005A3A5D"/>
    <w:rsid w:val="005A4B04"/>
    <w:rsid w:val="005A5B38"/>
    <w:rsid w:val="005A5CFD"/>
    <w:rsid w:val="005A702A"/>
    <w:rsid w:val="005A7868"/>
    <w:rsid w:val="005A79A1"/>
    <w:rsid w:val="005A7DE4"/>
    <w:rsid w:val="005B1316"/>
    <w:rsid w:val="005B1BD3"/>
    <w:rsid w:val="005B226D"/>
    <w:rsid w:val="005B24A4"/>
    <w:rsid w:val="005B2675"/>
    <w:rsid w:val="005B2A15"/>
    <w:rsid w:val="005B2C29"/>
    <w:rsid w:val="005B4673"/>
    <w:rsid w:val="005B47FD"/>
    <w:rsid w:val="005B4F17"/>
    <w:rsid w:val="005B50F1"/>
    <w:rsid w:val="005B698B"/>
    <w:rsid w:val="005C1BB8"/>
    <w:rsid w:val="005C2006"/>
    <w:rsid w:val="005C3D27"/>
    <w:rsid w:val="005C4337"/>
    <w:rsid w:val="005C5547"/>
    <w:rsid w:val="005C6F0B"/>
    <w:rsid w:val="005C7944"/>
    <w:rsid w:val="005C7ADE"/>
    <w:rsid w:val="005C7F44"/>
    <w:rsid w:val="005D12D4"/>
    <w:rsid w:val="005D1754"/>
    <w:rsid w:val="005D40CA"/>
    <w:rsid w:val="005D4666"/>
    <w:rsid w:val="005D47B0"/>
    <w:rsid w:val="005D542E"/>
    <w:rsid w:val="005D5E10"/>
    <w:rsid w:val="005D5EE8"/>
    <w:rsid w:val="005D6571"/>
    <w:rsid w:val="005D7A4F"/>
    <w:rsid w:val="005E02CE"/>
    <w:rsid w:val="005E1267"/>
    <w:rsid w:val="005E255E"/>
    <w:rsid w:val="005E2B38"/>
    <w:rsid w:val="005E2CA8"/>
    <w:rsid w:val="005E32D5"/>
    <w:rsid w:val="005E33F2"/>
    <w:rsid w:val="005E4180"/>
    <w:rsid w:val="005E77C7"/>
    <w:rsid w:val="005E7AF6"/>
    <w:rsid w:val="005E7C77"/>
    <w:rsid w:val="005F08C2"/>
    <w:rsid w:val="005F0B51"/>
    <w:rsid w:val="005F0D18"/>
    <w:rsid w:val="005F127B"/>
    <w:rsid w:val="005F140B"/>
    <w:rsid w:val="005F1D22"/>
    <w:rsid w:val="005F236D"/>
    <w:rsid w:val="005F23F8"/>
    <w:rsid w:val="005F26F3"/>
    <w:rsid w:val="005F2807"/>
    <w:rsid w:val="005F282D"/>
    <w:rsid w:val="005F28A6"/>
    <w:rsid w:val="005F2B3C"/>
    <w:rsid w:val="005F2D02"/>
    <w:rsid w:val="005F3197"/>
    <w:rsid w:val="005F3DF4"/>
    <w:rsid w:val="005F3EAA"/>
    <w:rsid w:val="005F468D"/>
    <w:rsid w:val="005F49C8"/>
    <w:rsid w:val="005F551B"/>
    <w:rsid w:val="005F60B9"/>
    <w:rsid w:val="005F61A9"/>
    <w:rsid w:val="005F69A5"/>
    <w:rsid w:val="005F6C13"/>
    <w:rsid w:val="005F7464"/>
    <w:rsid w:val="005F791C"/>
    <w:rsid w:val="005F7ACF"/>
    <w:rsid w:val="00600578"/>
    <w:rsid w:val="00600B82"/>
    <w:rsid w:val="00600DFA"/>
    <w:rsid w:val="00601377"/>
    <w:rsid w:val="006027A9"/>
    <w:rsid w:val="0060286A"/>
    <w:rsid w:val="00602A52"/>
    <w:rsid w:val="006030C4"/>
    <w:rsid w:val="00603F32"/>
    <w:rsid w:val="00603F7E"/>
    <w:rsid w:val="0060432A"/>
    <w:rsid w:val="00604689"/>
    <w:rsid w:val="00604893"/>
    <w:rsid w:val="006063FD"/>
    <w:rsid w:val="00606AC2"/>
    <w:rsid w:val="00606DFA"/>
    <w:rsid w:val="00606FF7"/>
    <w:rsid w:val="00610C19"/>
    <w:rsid w:val="006111D4"/>
    <w:rsid w:val="00612789"/>
    <w:rsid w:val="006128E1"/>
    <w:rsid w:val="006131C5"/>
    <w:rsid w:val="0061379A"/>
    <w:rsid w:val="00614FAE"/>
    <w:rsid w:val="00615351"/>
    <w:rsid w:val="006157B3"/>
    <w:rsid w:val="006159B3"/>
    <w:rsid w:val="0061685D"/>
    <w:rsid w:val="00616901"/>
    <w:rsid w:val="00616F77"/>
    <w:rsid w:val="00617056"/>
    <w:rsid w:val="006175E6"/>
    <w:rsid w:val="006177F3"/>
    <w:rsid w:val="006178B3"/>
    <w:rsid w:val="00617DBE"/>
    <w:rsid w:val="006204AE"/>
    <w:rsid w:val="00620548"/>
    <w:rsid w:val="0062082C"/>
    <w:rsid w:val="00621EA1"/>
    <w:rsid w:val="006221F4"/>
    <w:rsid w:val="0062317E"/>
    <w:rsid w:val="00623468"/>
    <w:rsid w:val="00623716"/>
    <w:rsid w:val="00624799"/>
    <w:rsid w:val="00626368"/>
    <w:rsid w:val="006264A2"/>
    <w:rsid w:val="0062672B"/>
    <w:rsid w:val="00626AB8"/>
    <w:rsid w:val="00626D77"/>
    <w:rsid w:val="00627B9E"/>
    <w:rsid w:val="00630E48"/>
    <w:rsid w:val="00631073"/>
    <w:rsid w:val="006321D5"/>
    <w:rsid w:val="0063318F"/>
    <w:rsid w:val="00635861"/>
    <w:rsid w:val="006359E4"/>
    <w:rsid w:val="00635C3E"/>
    <w:rsid w:val="00635D45"/>
    <w:rsid w:val="00635D6E"/>
    <w:rsid w:val="006360CD"/>
    <w:rsid w:val="00636768"/>
    <w:rsid w:val="0063691C"/>
    <w:rsid w:val="00636C96"/>
    <w:rsid w:val="0063716F"/>
    <w:rsid w:val="00637A0F"/>
    <w:rsid w:val="00637AA6"/>
    <w:rsid w:val="00637D02"/>
    <w:rsid w:val="00637F78"/>
    <w:rsid w:val="006400E3"/>
    <w:rsid w:val="0064011A"/>
    <w:rsid w:val="00640669"/>
    <w:rsid w:val="00641665"/>
    <w:rsid w:val="00643180"/>
    <w:rsid w:val="0064373E"/>
    <w:rsid w:val="00643D68"/>
    <w:rsid w:val="00643F25"/>
    <w:rsid w:val="006441CD"/>
    <w:rsid w:val="00644442"/>
    <w:rsid w:val="00644508"/>
    <w:rsid w:val="00644E07"/>
    <w:rsid w:val="006461B8"/>
    <w:rsid w:val="00647050"/>
    <w:rsid w:val="00647339"/>
    <w:rsid w:val="00647E09"/>
    <w:rsid w:val="006506FA"/>
    <w:rsid w:val="00651CBB"/>
    <w:rsid w:val="0065217C"/>
    <w:rsid w:val="00652365"/>
    <w:rsid w:val="00652B27"/>
    <w:rsid w:val="00653A1A"/>
    <w:rsid w:val="006544DF"/>
    <w:rsid w:val="00654773"/>
    <w:rsid w:val="00654BF7"/>
    <w:rsid w:val="0065556F"/>
    <w:rsid w:val="00655AE5"/>
    <w:rsid w:val="00655CE0"/>
    <w:rsid w:val="00656D1D"/>
    <w:rsid w:val="00657550"/>
    <w:rsid w:val="00657643"/>
    <w:rsid w:val="00657CD5"/>
    <w:rsid w:val="00657FDB"/>
    <w:rsid w:val="006606E4"/>
    <w:rsid w:val="00660AFB"/>
    <w:rsid w:val="0066103A"/>
    <w:rsid w:val="00661AF7"/>
    <w:rsid w:val="00662961"/>
    <w:rsid w:val="00662FA2"/>
    <w:rsid w:val="00663765"/>
    <w:rsid w:val="00663C6D"/>
    <w:rsid w:val="00663E07"/>
    <w:rsid w:val="00664AD3"/>
    <w:rsid w:val="0066533D"/>
    <w:rsid w:val="0066553F"/>
    <w:rsid w:val="00665DDB"/>
    <w:rsid w:val="006662F5"/>
    <w:rsid w:val="00666608"/>
    <w:rsid w:val="00666ADC"/>
    <w:rsid w:val="00666D6F"/>
    <w:rsid w:val="00666D76"/>
    <w:rsid w:val="0066706C"/>
    <w:rsid w:val="006674F0"/>
    <w:rsid w:val="00667E21"/>
    <w:rsid w:val="00667E46"/>
    <w:rsid w:val="0067091C"/>
    <w:rsid w:val="0067117D"/>
    <w:rsid w:val="00671261"/>
    <w:rsid w:val="00671355"/>
    <w:rsid w:val="00671A23"/>
    <w:rsid w:val="00671D96"/>
    <w:rsid w:val="00672A2C"/>
    <w:rsid w:val="00672FC8"/>
    <w:rsid w:val="006734B1"/>
    <w:rsid w:val="00673B4C"/>
    <w:rsid w:val="00673CD9"/>
    <w:rsid w:val="00673CE6"/>
    <w:rsid w:val="00675850"/>
    <w:rsid w:val="006769ED"/>
    <w:rsid w:val="00676CEB"/>
    <w:rsid w:val="006770C3"/>
    <w:rsid w:val="00677206"/>
    <w:rsid w:val="00677374"/>
    <w:rsid w:val="00680084"/>
    <w:rsid w:val="00680191"/>
    <w:rsid w:val="00680465"/>
    <w:rsid w:val="00680516"/>
    <w:rsid w:val="006809C9"/>
    <w:rsid w:val="00680C6D"/>
    <w:rsid w:val="00680CC6"/>
    <w:rsid w:val="00681001"/>
    <w:rsid w:val="00681871"/>
    <w:rsid w:val="00681B2B"/>
    <w:rsid w:val="00681B4E"/>
    <w:rsid w:val="00682446"/>
    <w:rsid w:val="00682540"/>
    <w:rsid w:val="0068257F"/>
    <w:rsid w:val="0068265D"/>
    <w:rsid w:val="006826E3"/>
    <w:rsid w:val="00682950"/>
    <w:rsid w:val="0068340C"/>
    <w:rsid w:val="00683DD9"/>
    <w:rsid w:val="00684890"/>
    <w:rsid w:val="00684ED9"/>
    <w:rsid w:val="006851AC"/>
    <w:rsid w:val="00686367"/>
    <w:rsid w:val="0068681B"/>
    <w:rsid w:val="006876C5"/>
    <w:rsid w:val="00687B50"/>
    <w:rsid w:val="006901B2"/>
    <w:rsid w:val="006902B2"/>
    <w:rsid w:val="00690729"/>
    <w:rsid w:val="00690891"/>
    <w:rsid w:val="00690AFE"/>
    <w:rsid w:val="006919AF"/>
    <w:rsid w:val="00692895"/>
    <w:rsid w:val="00692CCD"/>
    <w:rsid w:val="0069363B"/>
    <w:rsid w:val="0069490B"/>
    <w:rsid w:val="0069559F"/>
    <w:rsid w:val="006971BA"/>
    <w:rsid w:val="0069746C"/>
    <w:rsid w:val="00697D26"/>
    <w:rsid w:val="006A2B03"/>
    <w:rsid w:val="006A2DE9"/>
    <w:rsid w:val="006A3382"/>
    <w:rsid w:val="006A38AB"/>
    <w:rsid w:val="006A3BBC"/>
    <w:rsid w:val="006A53CB"/>
    <w:rsid w:val="006A5533"/>
    <w:rsid w:val="006A64C4"/>
    <w:rsid w:val="006A6882"/>
    <w:rsid w:val="006B01B2"/>
    <w:rsid w:val="006B098A"/>
    <w:rsid w:val="006B0A7C"/>
    <w:rsid w:val="006B0D75"/>
    <w:rsid w:val="006B0F1E"/>
    <w:rsid w:val="006B123E"/>
    <w:rsid w:val="006B1638"/>
    <w:rsid w:val="006B17AD"/>
    <w:rsid w:val="006B2FA0"/>
    <w:rsid w:val="006B302E"/>
    <w:rsid w:val="006B386E"/>
    <w:rsid w:val="006B41EC"/>
    <w:rsid w:val="006B5A1B"/>
    <w:rsid w:val="006B5F4A"/>
    <w:rsid w:val="006B66D0"/>
    <w:rsid w:val="006B6730"/>
    <w:rsid w:val="006B67F0"/>
    <w:rsid w:val="006B6C5D"/>
    <w:rsid w:val="006B728F"/>
    <w:rsid w:val="006B7362"/>
    <w:rsid w:val="006C01D8"/>
    <w:rsid w:val="006C0CB7"/>
    <w:rsid w:val="006C1373"/>
    <w:rsid w:val="006C1689"/>
    <w:rsid w:val="006C19E4"/>
    <w:rsid w:val="006C1A2B"/>
    <w:rsid w:val="006C1A65"/>
    <w:rsid w:val="006C305D"/>
    <w:rsid w:val="006C3AB1"/>
    <w:rsid w:val="006C4171"/>
    <w:rsid w:val="006C5180"/>
    <w:rsid w:val="006C55F1"/>
    <w:rsid w:val="006C564F"/>
    <w:rsid w:val="006C5E15"/>
    <w:rsid w:val="006C62AB"/>
    <w:rsid w:val="006C6E77"/>
    <w:rsid w:val="006C703E"/>
    <w:rsid w:val="006C7305"/>
    <w:rsid w:val="006C7DCE"/>
    <w:rsid w:val="006D0324"/>
    <w:rsid w:val="006D0CD8"/>
    <w:rsid w:val="006D148B"/>
    <w:rsid w:val="006D150B"/>
    <w:rsid w:val="006D223F"/>
    <w:rsid w:val="006D3021"/>
    <w:rsid w:val="006D303F"/>
    <w:rsid w:val="006D3964"/>
    <w:rsid w:val="006D3DE5"/>
    <w:rsid w:val="006D489B"/>
    <w:rsid w:val="006D51C6"/>
    <w:rsid w:val="006D5755"/>
    <w:rsid w:val="006D5CA8"/>
    <w:rsid w:val="006E0320"/>
    <w:rsid w:val="006E186A"/>
    <w:rsid w:val="006E1AE9"/>
    <w:rsid w:val="006E250E"/>
    <w:rsid w:val="006E2AC2"/>
    <w:rsid w:val="006E3C1B"/>
    <w:rsid w:val="006E49B0"/>
    <w:rsid w:val="006E5213"/>
    <w:rsid w:val="006E57F3"/>
    <w:rsid w:val="006E5BB4"/>
    <w:rsid w:val="006E608A"/>
    <w:rsid w:val="006E615E"/>
    <w:rsid w:val="006E6AF7"/>
    <w:rsid w:val="006E7A60"/>
    <w:rsid w:val="006E7F91"/>
    <w:rsid w:val="006F046B"/>
    <w:rsid w:val="006F0861"/>
    <w:rsid w:val="006F096F"/>
    <w:rsid w:val="006F0E47"/>
    <w:rsid w:val="006F13C3"/>
    <w:rsid w:val="006F17AF"/>
    <w:rsid w:val="006F1A0D"/>
    <w:rsid w:val="006F1AAA"/>
    <w:rsid w:val="006F1E71"/>
    <w:rsid w:val="006F24B1"/>
    <w:rsid w:val="006F25CD"/>
    <w:rsid w:val="006F3046"/>
    <w:rsid w:val="006F339F"/>
    <w:rsid w:val="006F3633"/>
    <w:rsid w:val="006F37D3"/>
    <w:rsid w:val="006F3D0D"/>
    <w:rsid w:val="006F3DD1"/>
    <w:rsid w:val="006F4987"/>
    <w:rsid w:val="006F4B8E"/>
    <w:rsid w:val="006F4BB9"/>
    <w:rsid w:val="006F4F55"/>
    <w:rsid w:val="006F5E03"/>
    <w:rsid w:val="006F5E85"/>
    <w:rsid w:val="006F6E28"/>
    <w:rsid w:val="006F724B"/>
    <w:rsid w:val="006F7747"/>
    <w:rsid w:val="006F7EFD"/>
    <w:rsid w:val="00700DC1"/>
    <w:rsid w:val="00701526"/>
    <w:rsid w:val="00701744"/>
    <w:rsid w:val="00701830"/>
    <w:rsid w:val="007024D7"/>
    <w:rsid w:val="007027F3"/>
    <w:rsid w:val="00702C59"/>
    <w:rsid w:val="00702D22"/>
    <w:rsid w:val="00702D92"/>
    <w:rsid w:val="00702E22"/>
    <w:rsid w:val="00703161"/>
    <w:rsid w:val="00703295"/>
    <w:rsid w:val="00704A3D"/>
    <w:rsid w:val="00704F73"/>
    <w:rsid w:val="00705080"/>
    <w:rsid w:val="007051E3"/>
    <w:rsid w:val="00705BD8"/>
    <w:rsid w:val="00706536"/>
    <w:rsid w:val="00706542"/>
    <w:rsid w:val="007068EE"/>
    <w:rsid w:val="00706942"/>
    <w:rsid w:val="00707F3A"/>
    <w:rsid w:val="00710507"/>
    <w:rsid w:val="0071090F"/>
    <w:rsid w:val="0071143E"/>
    <w:rsid w:val="00711A9B"/>
    <w:rsid w:val="00713380"/>
    <w:rsid w:val="00713971"/>
    <w:rsid w:val="00713A3C"/>
    <w:rsid w:val="00713D51"/>
    <w:rsid w:val="007149C0"/>
    <w:rsid w:val="00714DB5"/>
    <w:rsid w:val="007153D9"/>
    <w:rsid w:val="0071554F"/>
    <w:rsid w:val="00715D35"/>
    <w:rsid w:val="0071690E"/>
    <w:rsid w:val="00716A2A"/>
    <w:rsid w:val="007205A0"/>
    <w:rsid w:val="0072087A"/>
    <w:rsid w:val="00720C3E"/>
    <w:rsid w:val="0072102B"/>
    <w:rsid w:val="00721214"/>
    <w:rsid w:val="00721AAF"/>
    <w:rsid w:val="007229B1"/>
    <w:rsid w:val="00722F9D"/>
    <w:rsid w:val="00723226"/>
    <w:rsid w:val="007234F3"/>
    <w:rsid w:val="00723872"/>
    <w:rsid w:val="00724990"/>
    <w:rsid w:val="00724BB0"/>
    <w:rsid w:val="00725695"/>
    <w:rsid w:val="007259A7"/>
    <w:rsid w:val="00727615"/>
    <w:rsid w:val="007278BF"/>
    <w:rsid w:val="00731D6A"/>
    <w:rsid w:val="00731E4C"/>
    <w:rsid w:val="00731F83"/>
    <w:rsid w:val="0073233A"/>
    <w:rsid w:val="0073251F"/>
    <w:rsid w:val="00732C47"/>
    <w:rsid w:val="007330DB"/>
    <w:rsid w:val="00733905"/>
    <w:rsid w:val="007342D4"/>
    <w:rsid w:val="00735DA8"/>
    <w:rsid w:val="007363CA"/>
    <w:rsid w:val="007365FE"/>
    <w:rsid w:val="00737ACA"/>
    <w:rsid w:val="00740564"/>
    <w:rsid w:val="00741C31"/>
    <w:rsid w:val="00741C9D"/>
    <w:rsid w:val="00742BEB"/>
    <w:rsid w:val="00742F09"/>
    <w:rsid w:val="007433DD"/>
    <w:rsid w:val="007437CE"/>
    <w:rsid w:val="00743BCC"/>
    <w:rsid w:val="00743CA4"/>
    <w:rsid w:val="00744E2A"/>
    <w:rsid w:val="00744FA4"/>
    <w:rsid w:val="007456DC"/>
    <w:rsid w:val="00745859"/>
    <w:rsid w:val="00746E45"/>
    <w:rsid w:val="00747176"/>
    <w:rsid w:val="00750134"/>
    <w:rsid w:val="00750927"/>
    <w:rsid w:val="00750D49"/>
    <w:rsid w:val="00752290"/>
    <w:rsid w:val="007522E3"/>
    <w:rsid w:val="00752517"/>
    <w:rsid w:val="00752852"/>
    <w:rsid w:val="00753B22"/>
    <w:rsid w:val="00754201"/>
    <w:rsid w:val="00754412"/>
    <w:rsid w:val="00754671"/>
    <w:rsid w:val="0075541F"/>
    <w:rsid w:val="0075544F"/>
    <w:rsid w:val="007561CF"/>
    <w:rsid w:val="007564FB"/>
    <w:rsid w:val="007565FE"/>
    <w:rsid w:val="007566B2"/>
    <w:rsid w:val="007568C0"/>
    <w:rsid w:val="007568E1"/>
    <w:rsid w:val="00757068"/>
    <w:rsid w:val="00757260"/>
    <w:rsid w:val="007574E3"/>
    <w:rsid w:val="00757819"/>
    <w:rsid w:val="007578B7"/>
    <w:rsid w:val="00757F92"/>
    <w:rsid w:val="0076075A"/>
    <w:rsid w:val="00760D54"/>
    <w:rsid w:val="00760E7D"/>
    <w:rsid w:val="0076137C"/>
    <w:rsid w:val="007613D8"/>
    <w:rsid w:val="0076173F"/>
    <w:rsid w:val="007618CA"/>
    <w:rsid w:val="00762A63"/>
    <w:rsid w:val="00762E8D"/>
    <w:rsid w:val="0076359E"/>
    <w:rsid w:val="00764487"/>
    <w:rsid w:val="0076450F"/>
    <w:rsid w:val="00764BCD"/>
    <w:rsid w:val="00764D93"/>
    <w:rsid w:val="00765AB6"/>
    <w:rsid w:val="00765F66"/>
    <w:rsid w:val="00766353"/>
    <w:rsid w:val="00766926"/>
    <w:rsid w:val="00766ACC"/>
    <w:rsid w:val="00766D48"/>
    <w:rsid w:val="00766F2F"/>
    <w:rsid w:val="00767541"/>
    <w:rsid w:val="00770570"/>
    <w:rsid w:val="00770DD2"/>
    <w:rsid w:val="00771527"/>
    <w:rsid w:val="0077182E"/>
    <w:rsid w:val="00771A15"/>
    <w:rsid w:val="00771CFE"/>
    <w:rsid w:val="00771E60"/>
    <w:rsid w:val="00771EF8"/>
    <w:rsid w:val="00772301"/>
    <w:rsid w:val="00772B40"/>
    <w:rsid w:val="00772B48"/>
    <w:rsid w:val="00772BCE"/>
    <w:rsid w:val="00772FBC"/>
    <w:rsid w:val="007732DE"/>
    <w:rsid w:val="00773519"/>
    <w:rsid w:val="00773732"/>
    <w:rsid w:val="00773D09"/>
    <w:rsid w:val="00774D15"/>
    <w:rsid w:val="00775063"/>
    <w:rsid w:val="00775701"/>
    <w:rsid w:val="00775987"/>
    <w:rsid w:val="00775AB8"/>
    <w:rsid w:val="00776430"/>
    <w:rsid w:val="0078017A"/>
    <w:rsid w:val="0078059E"/>
    <w:rsid w:val="00780D15"/>
    <w:rsid w:val="00780E23"/>
    <w:rsid w:val="00781367"/>
    <w:rsid w:val="00781398"/>
    <w:rsid w:val="00781462"/>
    <w:rsid w:val="0078166A"/>
    <w:rsid w:val="007816B1"/>
    <w:rsid w:val="00781C30"/>
    <w:rsid w:val="00781E3E"/>
    <w:rsid w:val="00781F66"/>
    <w:rsid w:val="00781FBF"/>
    <w:rsid w:val="00781FD4"/>
    <w:rsid w:val="00782675"/>
    <w:rsid w:val="00782DF3"/>
    <w:rsid w:val="007841AB"/>
    <w:rsid w:val="00784ADF"/>
    <w:rsid w:val="00784E6E"/>
    <w:rsid w:val="00784FBB"/>
    <w:rsid w:val="00785543"/>
    <w:rsid w:val="00785B04"/>
    <w:rsid w:val="00785F8F"/>
    <w:rsid w:val="00786019"/>
    <w:rsid w:val="00786FBF"/>
    <w:rsid w:val="00787314"/>
    <w:rsid w:val="007874F1"/>
    <w:rsid w:val="007876FB"/>
    <w:rsid w:val="0078779C"/>
    <w:rsid w:val="0079043F"/>
    <w:rsid w:val="007910AC"/>
    <w:rsid w:val="007924F9"/>
    <w:rsid w:val="00792E44"/>
    <w:rsid w:val="007937CD"/>
    <w:rsid w:val="00793CF6"/>
    <w:rsid w:val="007940E8"/>
    <w:rsid w:val="00794F34"/>
    <w:rsid w:val="00795261"/>
    <w:rsid w:val="00795336"/>
    <w:rsid w:val="00795599"/>
    <w:rsid w:val="0079574F"/>
    <w:rsid w:val="00795F29"/>
    <w:rsid w:val="007962E0"/>
    <w:rsid w:val="007963EF"/>
    <w:rsid w:val="007963FF"/>
    <w:rsid w:val="0079718E"/>
    <w:rsid w:val="007972F4"/>
    <w:rsid w:val="0079750D"/>
    <w:rsid w:val="00797A1B"/>
    <w:rsid w:val="00797B36"/>
    <w:rsid w:val="007A013E"/>
    <w:rsid w:val="007A0757"/>
    <w:rsid w:val="007A0D9B"/>
    <w:rsid w:val="007A155A"/>
    <w:rsid w:val="007A1BD4"/>
    <w:rsid w:val="007A23B5"/>
    <w:rsid w:val="007A23BD"/>
    <w:rsid w:val="007A2640"/>
    <w:rsid w:val="007A2721"/>
    <w:rsid w:val="007A2A3E"/>
    <w:rsid w:val="007A2FF5"/>
    <w:rsid w:val="007A30EE"/>
    <w:rsid w:val="007A321B"/>
    <w:rsid w:val="007A36F8"/>
    <w:rsid w:val="007A3DA5"/>
    <w:rsid w:val="007A444F"/>
    <w:rsid w:val="007A4D91"/>
    <w:rsid w:val="007A58D9"/>
    <w:rsid w:val="007A59DE"/>
    <w:rsid w:val="007A6C91"/>
    <w:rsid w:val="007A6CEB"/>
    <w:rsid w:val="007A6E84"/>
    <w:rsid w:val="007A78F8"/>
    <w:rsid w:val="007B0D6B"/>
    <w:rsid w:val="007B12F6"/>
    <w:rsid w:val="007B1430"/>
    <w:rsid w:val="007B1520"/>
    <w:rsid w:val="007B174F"/>
    <w:rsid w:val="007B1ABE"/>
    <w:rsid w:val="007B1EBF"/>
    <w:rsid w:val="007B30F6"/>
    <w:rsid w:val="007B321E"/>
    <w:rsid w:val="007B43FD"/>
    <w:rsid w:val="007B4754"/>
    <w:rsid w:val="007B4832"/>
    <w:rsid w:val="007B4E41"/>
    <w:rsid w:val="007B5286"/>
    <w:rsid w:val="007B55A0"/>
    <w:rsid w:val="007B5A15"/>
    <w:rsid w:val="007B6201"/>
    <w:rsid w:val="007B6A9D"/>
    <w:rsid w:val="007B7B20"/>
    <w:rsid w:val="007C17C9"/>
    <w:rsid w:val="007C1C27"/>
    <w:rsid w:val="007C1D3D"/>
    <w:rsid w:val="007C2405"/>
    <w:rsid w:val="007C25A6"/>
    <w:rsid w:val="007C28A9"/>
    <w:rsid w:val="007C3302"/>
    <w:rsid w:val="007C4B71"/>
    <w:rsid w:val="007C4F4C"/>
    <w:rsid w:val="007C5578"/>
    <w:rsid w:val="007C57B6"/>
    <w:rsid w:val="007C5CD5"/>
    <w:rsid w:val="007C60AF"/>
    <w:rsid w:val="007C633A"/>
    <w:rsid w:val="007C683E"/>
    <w:rsid w:val="007C69DC"/>
    <w:rsid w:val="007C6D60"/>
    <w:rsid w:val="007C6F7D"/>
    <w:rsid w:val="007C7D10"/>
    <w:rsid w:val="007C7FB1"/>
    <w:rsid w:val="007D07DF"/>
    <w:rsid w:val="007D0B8F"/>
    <w:rsid w:val="007D10B3"/>
    <w:rsid w:val="007D13BA"/>
    <w:rsid w:val="007D1864"/>
    <w:rsid w:val="007D21E6"/>
    <w:rsid w:val="007D4222"/>
    <w:rsid w:val="007D4C23"/>
    <w:rsid w:val="007D4FE9"/>
    <w:rsid w:val="007D53A9"/>
    <w:rsid w:val="007D7003"/>
    <w:rsid w:val="007D71FD"/>
    <w:rsid w:val="007D7334"/>
    <w:rsid w:val="007E00D1"/>
    <w:rsid w:val="007E1CC7"/>
    <w:rsid w:val="007E202A"/>
    <w:rsid w:val="007E203B"/>
    <w:rsid w:val="007E26D7"/>
    <w:rsid w:val="007E2D42"/>
    <w:rsid w:val="007E2D88"/>
    <w:rsid w:val="007E3A3C"/>
    <w:rsid w:val="007E45AB"/>
    <w:rsid w:val="007E5191"/>
    <w:rsid w:val="007E54B1"/>
    <w:rsid w:val="007E6B1B"/>
    <w:rsid w:val="007E6CD2"/>
    <w:rsid w:val="007E6E9F"/>
    <w:rsid w:val="007E7ACB"/>
    <w:rsid w:val="007E7BCB"/>
    <w:rsid w:val="007F024D"/>
    <w:rsid w:val="007F0839"/>
    <w:rsid w:val="007F1225"/>
    <w:rsid w:val="007F1B06"/>
    <w:rsid w:val="007F1CAE"/>
    <w:rsid w:val="007F1DCD"/>
    <w:rsid w:val="007F2801"/>
    <w:rsid w:val="007F2C9B"/>
    <w:rsid w:val="007F2EF4"/>
    <w:rsid w:val="007F3A67"/>
    <w:rsid w:val="007F3B3C"/>
    <w:rsid w:val="007F3F5E"/>
    <w:rsid w:val="007F3FF6"/>
    <w:rsid w:val="007F422D"/>
    <w:rsid w:val="007F4568"/>
    <w:rsid w:val="007F488B"/>
    <w:rsid w:val="007F4C56"/>
    <w:rsid w:val="007F4D68"/>
    <w:rsid w:val="007F5191"/>
    <w:rsid w:val="007F549E"/>
    <w:rsid w:val="007F7354"/>
    <w:rsid w:val="007F73FB"/>
    <w:rsid w:val="007F788A"/>
    <w:rsid w:val="007F7F15"/>
    <w:rsid w:val="00800172"/>
    <w:rsid w:val="00800605"/>
    <w:rsid w:val="00800916"/>
    <w:rsid w:val="0080097A"/>
    <w:rsid w:val="0080098F"/>
    <w:rsid w:val="00801076"/>
    <w:rsid w:val="00801A84"/>
    <w:rsid w:val="00801AF8"/>
    <w:rsid w:val="00802B94"/>
    <w:rsid w:val="00802D78"/>
    <w:rsid w:val="00802DBD"/>
    <w:rsid w:val="0080305F"/>
    <w:rsid w:val="0080306E"/>
    <w:rsid w:val="00803C7B"/>
    <w:rsid w:val="008048C4"/>
    <w:rsid w:val="008050A0"/>
    <w:rsid w:val="008051BF"/>
    <w:rsid w:val="00805C7B"/>
    <w:rsid w:val="00807477"/>
    <w:rsid w:val="00807546"/>
    <w:rsid w:val="008103A7"/>
    <w:rsid w:val="008106CF"/>
    <w:rsid w:val="008113F5"/>
    <w:rsid w:val="00811430"/>
    <w:rsid w:val="00811724"/>
    <w:rsid w:val="008119F3"/>
    <w:rsid w:val="008121E6"/>
    <w:rsid w:val="0081244B"/>
    <w:rsid w:val="00812F6E"/>
    <w:rsid w:val="00813191"/>
    <w:rsid w:val="008142D8"/>
    <w:rsid w:val="008142F4"/>
    <w:rsid w:val="00814972"/>
    <w:rsid w:val="0081508A"/>
    <w:rsid w:val="008152A8"/>
    <w:rsid w:val="0081578F"/>
    <w:rsid w:val="00815862"/>
    <w:rsid w:val="00816D5A"/>
    <w:rsid w:val="00817D96"/>
    <w:rsid w:val="00820DE4"/>
    <w:rsid w:val="00821445"/>
    <w:rsid w:val="00821A5F"/>
    <w:rsid w:val="00821B87"/>
    <w:rsid w:val="00822F42"/>
    <w:rsid w:val="008231C3"/>
    <w:rsid w:val="00823971"/>
    <w:rsid w:val="00823F08"/>
    <w:rsid w:val="00824139"/>
    <w:rsid w:val="008245C1"/>
    <w:rsid w:val="00824C6D"/>
    <w:rsid w:val="00825956"/>
    <w:rsid w:val="00826401"/>
    <w:rsid w:val="0082650E"/>
    <w:rsid w:val="00826C8D"/>
    <w:rsid w:val="0082702C"/>
    <w:rsid w:val="008270E6"/>
    <w:rsid w:val="00827363"/>
    <w:rsid w:val="00827501"/>
    <w:rsid w:val="0083021F"/>
    <w:rsid w:val="00830337"/>
    <w:rsid w:val="00830758"/>
    <w:rsid w:val="008308DC"/>
    <w:rsid w:val="00830985"/>
    <w:rsid w:val="00830AE8"/>
    <w:rsid w:val="00830F0E"/>
    <w:rsid w:val="008313D0"/>
    <w:rsid w:val="00831636"/>
    <w:rsid w:val="00831ACB"/>
    <w:rsid w:val="008329B7"/>
    <w:rsid w:val="00833ABB"/>
    <w:rsid w:val="00833B6C"/>
    <w:rsid w:val="0083447C"/>
    <w:rsid w:val="00834AD5"/>
    <w:rsid w:val="00834E34"/>
    <w:rsid w:val="00834F5B"/>
    <w:rsid w:val="00836127"/>
    <w:rsid w:val="00836784"/>
    <w:rsid w:val="008368C2"/>
    <w:rsid w:val="00836D1C"/>
    <w:rsid w:val="0083700A"/>
    <w:rsid w:val="00837186"/>
    <w:rsid w:val="008371A5"/>
    <w:rsid w:val="00840368"/>
    <w:rsid w:val="00841113"/>
    <w:rsid w:val="008411C0"/>
    <w:rsid w:val="008412C0"/>
    <w:rsid w:val="00841956"/>
    <w:rsid w:val="00841B82"/>
    <w:rsid w:val="00841C63"/>
    <w:rsid w:val="00841DE4"/>
    <w:rsid w:val="00842E7A"/>
    <w:rsid w:val="0084326A"/>
    <w:rsid w:val="008432D4"/>
    <w:rsid w:val="008433F2"/>
    <w:rsid w:val="0084441A"/>
    <w:rsid w:val="0084468A"/>
    <w:rsid w:val="008448B1"/>
    <w:rsid w:val="00844977"/>
    <w:rsid w:val="00845019"/>
    <w:rsid w:val="008459DF"/>
    <w:rsid w:val="00845D45"/>
    <w:rsid w:val="00846B9C"/>
    <w:rsid w:val="00846FFE"/>
    <w:rsid w:val="00847097"/>
    <w:rsid w:val="008472D8"/>
    <w:rsid w:val="008474E2"/>
    <w:rsid w:val="00847962"/>
    <w:rsid w:val="00847B8A"/>
    <w:rsid w:val="00847BC6"/>
    <w:rsid w:val="00851B70"/>
    <w:rsid w:val="008525DA"/>
    <w:rsid w:val="008525E9"/>
    <w:rsid w:val="0085314B"/>
    <w:rsid w:val="00853564"/>
    <w:rsid w:val="008535C1"/>
    <w:rsid w:val="00853ADF"/>
    <w:rsid w:val="00854214"/>
    <w:rsid w:val="00855264"/>
    <w:rsid w:val="008554C1"/>
    <w:rsid w:val="00855605"/>
    <w:rsid w:val="00856BC9"/>
    <w:rsid w:val="0085731E"/>
    <w:rsid w:val="008575E7"/>
    <w:rsid w:val="00857655"/>
    <w:rsid w:val="0085788A"/>
    <w:rsid w:val="00857FBE"/>
    <w:rsid w:val="008618E3"/>
    <w:rsid w:val="00861CC0"/>
    <w:rsid w:val="00862220"/>
    <w:rsid w:val="008623F3"/>
    <w:rsid w:val="008624FC"/>
    <w:rsid w:val="00862692"/>
    <w:rsid w:val="00862D57"/>
    <w:rsid w:val="00864BAC"/>
    <w:rsid w:val="00864D91"/>
    <w:rsid w:val="00864E45"/>
    <w:rsid w:val="008655EC"/>
    <w:rsid w:val="00865605"/>
    <w:rsid w:val="00865BD0"/>
    <w:rsid w:val="008662C6"/>
    <w:rsid w:val="008662FC"/>
    <w:rsid w:val="0086655E"/>
    <w:rsid w:val="0086676E"/>
    <w:rsid w:val="008667C6"/>
    <w:rsid w:val="008667DF"/>
    <w:rsid w:val="00866C02"/>
    <w:rsid w:val="00867088"/>
    <w:rsid w:val="008709D9"/>
    <w:rsid w:val="00870A4D"/>
    <w:rsid w:val="00870BA4"/>
    <w:rsid w:val="00870BE4"/>
    <w:rsid w:val="008710E8"/>
    <w:rsid w:val="008718BA"/>
    <w:rsid w:val="00872497"/>
    <w:rsid w:val="0087284A"/>
    <w:rsid w:val="00873EE4"/>
    <w:rsid w:val="00874961"/>
    <w:rsid w:val="00874A81"/>
    <w:rsid w:val="00875D3C"/>
    <w:rsid w:val="008762BC"/>
    <w:rsid w:val="0087637A"/>
    <w:rsid w:val="0087669D"/>
    <w:rsid w:val="00876B64"/>
    <w:rsid w:val="008771EE"/>
    <w:rsid w:val="008775C3"/>
    <w:rsid w:val="008805FF"/>
    <w:rsid w:val="00880CE4"/>
    <w:rsid w:val="00881AF3"/>
    <w:rsid w:val="00881B3A"/>
    <w:rsid w:val="00882272"/>
    <w:rsid w:val="0088236A"/>
    <w:rsid w:val="00882BFD"/>
    <w:rsid w:val="008832F7"/>
    <w:rsid w:val="00884448"/>
    <w:rsid w:val="00884F30"/>
    <w:rsid w:val="00885951"/>
    <w:rsid w:val="00885AF9"/>
    <w:rsid w:val="00885EA6"/>
    <w:rsid w:val="00885ED0"/>
    <w:rsid w:val="00886A9C"/>
    <w:rsid w:val="0088702B"/>
    <w:rsid w:val="00887553"/>
    <w:rsid w:val="0088775A"/>
    <w:rsid w:val="008878F5"/>
    <w:rsid w:val="0089092A"/>
    <w:rsid w:val="00890E16"/>
    <w:rsid w:val="0089136A"/>
    <w:rsid w:val="00891610"/>
    <w:rsid w:val="00891855"/>
    <w:rsid w:val="00891E1F"/>
    <w:rsid w:val="008925DE"/>
    <w:rsid w:val="00892863"/>
    <w:rsid w:val="008928CF"/>
    <w:rsid w:val="00892981"/>
    <w:rsid w:val="00892C3D"/>
    <w:rsid w:val="00892E70"/>
    <w:rsid w:val="0089361E"/>
    <w:rsid w:val="00893653"/>
    <w:rsid w:val="00894760"/>
    <w:rsid w:val="00894B5B"/>
    <w:rsid w:val="00895F53"/>
    <w:rsid w:val="00895F90"/>
    <w:rsid w:val="0089695B"/>
    <w:rsid w:val="008969E0"/>
    <w:rsid w:val="00896CD4"/>
    <w:rsid w:val="00896DC2"/>
    <w:rsid w:val="0089741F"/>
    <w:rsid w:val="00897605"/>
    <w:rsid w:val="00897EC9"/>
    <w:rsid w:val="008A03A3"/>
    <w:rsid w:val="008A0628"/>
    <w:rsid w:val="008A0BA5"/>
    <w:rsid w:val="008A128B"/>
    <w:rsid w:val="008A14AC"/>
    <w:rsid w:val="008A1871"/>
    <w:rsid w:val="008A3774"/>
    <w:rsid w:val="008A3E0D"/>
    <w:rsid w:val="008A3FDC"/>
    <w:rsid w:val="008A4E26"/>
    <w:rsid w:val="008A5451"/>
    <w:rsid w:val="008A564D"/>
    <w:rsid w:val="008A5CC1"/>
    <w:rsid w:val="008A6FC1"/>
    <w:rsid w:val="008A7066"/>
    <w:rsid w:val="008A7AE7"/>
    <w:rsid w:val="008A7AEC"/>
    <w:rsid w:val="008A7AFF"/>
    <w:rsid w:val="008B04F5"/>
    <w:rsid w:val="008B0D55"/>
    <w:rsid w:val="008B0FBB"/>
    <w:rsid w:val="008B1505"/>
    <w:rsid w:val="008B1B24"/>
    <w:rsid w:val="008B1E3F"/>
    <w:rsid w:val="008B3129"/>
    <w:rsid w:val="008B3562"/>
    <w:rsid w:val="008B378A"/>
    <w:rsid w:val="008B3BEB"/>
    <w:rsid w:val="008B401B"/>
    <w:rsid w:val="008B41A6"/>
    <w:rsid w:val="008B5447"/>
    <w:rsid w:val="008B6094"/>
    <w:rsid w:val="008B6D0B"/>
    <w:rsid w:val="008B6E43"/>
    <w:rsid w:val="008B71F8"/>
    <w:rsid w:val="008B722C"/>
    <w:rsid w:val="008B7D98"/>
    <w:rsid w:val="008C08E1"/>
    <w:rsid w:val="008C0920"/>
    <w:rsid w:val="008C10B6"/>
    <w:rsid w:val="008C10F7"/>
    <w:rsid w:val="008C183B"/>
    <w:rsid w:val="008C2262"/>
    <w:rsid w:val="008C2459"/>
    <w:rsid w:val="008C293B"/>
    <w:rsid w:val="008C2BC6"/>
    <w:rsid w:val="008C3011"/>
    <w:rsid w:val="008C31A6"/>
    <w:rsid w:val="008C3F5A"/>
    <w:rsid w:val="008C440A"/>
    <w:rsid w:val="008C59BF"/>
    <w:rsid w:val="008C5BBE"/>
    <w:rsid w:val="008C647B"/>
    <w:rsid w:val="008C6B5B"/>
    <w:rsid w:val="008C6C2F"/>
    <w:rsid w:val="008C7104"/>
    <w:rsid w:val="008C7640"/>
    <w:rsid w:val="008C77C5"/>
    <w:rsid w:val="008C7F0B"/>
    <w:rsid w:val="008D0ABD"/>
    <w:rsid w:val="008D17A8"/>
    <w:rsid w:val="008D1C8F"/>
    <w:rsid w:val="008D207B"/>
    <w:rsid w:val="008D226F"/>
    <w:rsid w:val="008D3235"/>
    <w:rsid w:val="008D36DE"/>
    <w:rsid w:val="008D3C1C"/>
    <w:rsid w:val="008D3CB3"/>
    <w:rsid w:val="008D43B8"/>
    <w:rsid w:val="008D4A18"/>
    <w:rsid w:val="008D56E5"/>
    <w:rsid w:val="008D63A4"/>
    <w:rsid w:val="008D7007"/>
    <w:rsid w:val="008D74F1"/>
    <w:rsid w:val="008D7781"/>
    <w:rsid w:val="008D7A8D"/>
    <w:rsid w:val="008E132C"/>
    <w:rsid w:val="008E139E"/>
    <w:rsid w:val="008E19E7"/>
    <w:rsid w:val="008E273D"/>
    <w:rsid w:val="008E274D"/>
    <w:rsid w:val="008E2B0B"/>
    <w:rsid w:val="008E2EED"/>
    <w:rsid w:val="008E3154"/>
    <w:rsid w:val="008E3B50"/>
    <w:rsid w:val="008E3E9D"/>
    <w:rsid w:val="008E3EA9"/>
    <w:rsid w:val="008E406A"/>
    <w:rsid w:val="008E4159"/>
    <w:rsid w:val="008E4A8B"/>
    <w:rsid w:val="008E5041"/>
    <w:rsid w:val="008E5756"/>
    <w:rsid w:val="008E617F"/>
    <w:rsid w:val="008E6410"/>
    <w:rsid w:val="008E67D5"/>
    <w:rsid w:val="008E6A22"/>
    <w:rsid w:val="008E6AAE"/>
    <w:rsid w:val="008E7224"/>
    <w:rsid w:val="008E74FA"/>
    <w:rsid w:val="008E777B"/>
    <w:rsid w:val="008E7B6B"/>
    <w:rsid w:val="008F025B"/>
    <w:rsid w:val="008F0307"/>
    <w:rsid w:val="008F08CF"/>
    <w:rsid w:val="008F0B77"/>
    <w:rsid w:val="008F256B"/>
    <w:rsid w:val="008F2904"/>
    <w:rsid w:val="008F3A62"/>
    <w:rsid w:val="008F44E4"/>
    <w:rsid w:val="008F48BE"/>
    <w:rsid w:val="008F49A1"/>
    <w:rsid w:val="008F52A3"/>
    <w:rsid w:val="008F55CB"/>
    <w:rsid w:val="008F5F8B"/>
    <w:rsid w:val="008F60FE"/>
    <w:rsid w:val="008F638B"/>
    <w:rsid w:val="008F679A"/>
    <w:rsid w:val="008F6C74"/>
    <w:rsid w:val="008F7224"/>
    <w:rsid w:val="008F77AF"/>
    <w:rsid w:val="008F7F5F"/>
    <w:rsid w:val="008F7FCB"/>
    <w:rsid w:val="009004ED"/>
    <w:rsid w:val="00900887"/>
    <w:rsid w:val="00900988"/>
    <w:rsid w:val="00900C4C"/>
    <w:rsid w:val="00901029"/>
    <w:rsid w:val="00901075"/>
    <w:rsid w:val="009011B3"/>
    <w:rsid w:val="0090121F"/>
    <w:rsid w:val="00901DDC"/>
    <w:rsid w:val="009023DF"/>
    <w:rsid w:val="0090355B"/>
    <w:rsid w:val="0090376E"/>
    <w:rsid w:val="009048D6"/>
    <w:rsid w:val="00904AB7"/>
    <w:rsid w:val="009052A5"/>
    <w:rsid w:val="00905BED"/>
    <w:rsid w:val="009079B3"/>
    <w:rsid w:val="00907B5C"/>
    <w:rsid w:val="00907CA8"/>
    <w:rsid w:val="00907E10"/>
    <w:rsid w:val="009106A0"/>
    <w:rsid w:val="009109ED"/>
    <w:rsid w:val="00910FB4"/>
    <w:rsid w:val="00911AAA"/>
    <w:rsid w:val="00912460"/>
    <w:rsid w:val="009128C5"/>
    <w:rsid w:val="009129A8"/>
    <w:rsid w:val="00912C70"/>
    <w:rsid w:val="00913145"/>
    <w:rsid w:val="00913309"/>
    <w:rsid w:val="009158EE"/>
    <w:rsid w:val="00916370"/>
    <w:rsid w:val="009166A0"/>
    <w:rsid w:val="00916E16"/>
    <w:rsid w:val="009176BB"/>
    <w:rsid w:val="00917764"/>
    <w:rsid w:val="009203CE"/>
    <w:rsid w:val="009209DA"/>
    <w:rsid w:val="00921393"/>
    <w:rsid w:val="009214DD"/>
    <w:rsid w:val="0092172F"/>
    <w:rsid w:val="009218B7"/>
    <w:rsid w:val="00921B56"/>
    <w:rsid w:val="009228E8"/>
    <w:rsid w:val="00922A03"/>
    <w:rsid w:val="00923242"/>
    <w:rsid w:val="00923F93"/>
    <w:rsid w:val="009240B9"/>
    <w:rsid w:val="0092539F"/>
    <w:rsid w:val="009260BE"/>
    <w:rsid w:val="00926185"/>
    <w:rsid w:val="009279B1"/>
    <w:rsid w:val="00927D79"/>
    <w:rsid w:val="00930789"/>
    <w:rsid w:val="00930A30"/>
    <w:rsid w:val="00930BD2"/>
    <w:rsid w:val="00930CC1"/>
    <w:rsid w:val="009313C9"/>
    <w:rsid w:val="009317BA"/>
    <w:rsid w:val="00931B75"/>
    <w:rsid w:val="00931C9C"/>
    <w:rsid w:val="00931DBF"/>
    <w:rsid w:val="00932369"/>
    <w:rsid w:val="0093256D"/>
    <w:rsid w:val="00933E08"/>
    <w:rsid w:val="00933EDC"/>
    <w:rsid w:val="00934205"/>
    <w:rsid w:val="00934D2D"/>
    <w:rsid w:val="00935469"/>
    <w:rsid w:val="00935A87"/>
    <w:rsid w:val="00936537"/>
    <w:rsid w:val="0093675F"/>
    <w:rsid w:val="00936D87"/>
    <w:rsid w:val="00937142"/>
    <w:rsid w:val="0094013A"/>
    <w:rsid w:val="00940575"/>
    <w:rsid w:val="0094062A"/>
    <w:rsid w:val="00941576"/>
    <w:rsid w:val="009421F2"/>
    <w:rsid w:val="0094235A"/>
    <w:rsid w:val="009426FA"/>
    <w:rsid w:val="009436F2"/>
    <w:rsid w:val="009437A2"/>
    <w:rsid w:val="00943FE5"/>
    <w:rsid w:val="00944042"/>
    <w:rsid w:val="00944864"/>
    <w:rsid w:val="0094614A"/>
    <w:rsid w:val="009461C0"/>
    <w:rsid w:val="0094668C"/>
    <w:rsid w:val="00946B66"/>
    <w:rsid w:val="00947780"/>
    <w:rsid w:val="0094783D"/>
    <w:rsid w:val="009501C3"/>
    <w:rsid w:val="0095061E"/>
    <w:rsid w:val="00950E4C"/>
    <w:rsid w:val="00951000"/>
    <w:rsid w:val="00951533"/>
    <w:rsid w:val="009535B8"/>
    <w:rsid w:val="00953EB8"/>
    <w:rsid w:val="009545E5"/>
    <w:rsid w:val="00955C4A"/>
    <w:rsid w:val="00956278"/>
    <w:rsid w:val="009562B7"/>
    <w:rsid w:val="0095651B"/>
    <w:rsid w:val="00957747"/>
    <w:rsid w:val="0095786F"/>
    <w:rsid w:val="0096002A"/>
    <w:rsid w:val="00960993"/>
    <w:rsid w:val="009612D7"/>
    <w:rsid w:val="00961D67"/>
    <w:rsid w:val="00962213"/>
    <w:rsid w:val="00962F31"/>
    <w:rsid w:val="00963152"/>
    <w:rsid w:val="009634C3"/>
    <w:rsid w:val="00963CCD"/>
    <w:rsid w:val="00963DB8"/>
    <w:rsid w:val="00965364"/>
    <w:rsid w:val="00965775"/>
    <w:rsid w:val="0096583F"/>
    <w:rsid w:val="009667D1"/>
    <w:rsid w:val="00967621"/>
    <w:rsid w:val="00967BC2"/>
    <w:rsid w:val="00967DA5"/>
    <w:rsid w:val="00970A0E"/>
    <w:rsid w:val="009713A1"/>
    <w:rsid w:val="009713FF"/>
    <w:rsid w:val="00971927"/>
    <w:rsid w:val="009719C4"/>
    <w:rsid w:val="00971A07"/>
    <w:rsid w:val="00974C0D"/>
    <w:rsid w:val="00974D39"/>
    <w:rsid w:val="00975AA1"/>
    <w:rsid w:val="009767EF"/>
    <w:rsid w:val="00977301"/>
    <w:rsid w:val="00980108"/>
    <w:rsid w:val="009801CF"/>
    <w:rsid w:val="0098027A"/>
    <w:rsid w:val="00980823"/>
    <w:rsid w:val="00980E67"/>
    <w:rsid w:val="00981106"/>
    <w:rsid w:val="00981135"/>
    <w:rsid w:val="00981163"/>
    <w:rsid w:val="009816BF"/>
    <w:rsid w:val="00981A95"/>
    <w:rsid w:val="00981C6B"/>
    <w:rsid w:val="00981EEC"/>
    <w:rsid w:val="00981FF6"/>
    <w:rsid w:val="00983945"/>
    <w:rsid w:val="00983C1A"/>
    <w:rsid w:val="00983D04"/>
    <w:rsid w:val="00984AD9"/>
    <w:rsid w:val="00984B9F"/>
    <w:rsid w:val="00985313"/>
    <w:rsid w:val="009869CB"/>
    <w:rsid w:val="00986AE4"/>
    <w:rsid w:val="009871EC"/>
    <w:rsid w:val="00987CC2"/>
    <w:rsid w:val="009909F7"/>
    <w:rsid w:val="00990B16"/>
    <w:rsid w:val="00990E9F"/>
    <w:rsid w:val="0099106F"/>
    <w:rsid w:val="0099174E"/>
    <w:rsid w:val="00991858"/>
    <w:rsid w:val="0099252C"/>
    <w:rsid w:val="00992D04"/>
    <w:rsid w:val="0099312F"/>
    <w:rsid w:val="00993581"/>
    <w:rsid w:val="009937CE"/>
    <w:rsid w:val="0099439E"/>
    <w:rsid w:val="00994669"/>
    <w:rsid w:val="009947FA"/>
    <w:rsid w:val="00994F24"/>
    <w:rsid w:val="0099517D"/>
    <w:rsid w:val="00995462"/>
    <w:rsid w:val="00996458"/>
    <w:rsid w:val="00996A95"/>
    <w:rsid w:val="00996BCA"/>
    <w:rsid w:val="00996D06"/>
    <w:rsid w:val="00997C62"/>
    <w:rsid w:val="009A0682"/>
    <w:rsid w:val="009A0699"/>
    <w:rsid w:val="009A07BA"/>
    <w:rsid w:val="009A0F6F"/>
    <w:rsid w:val="009A115B"/>
    <w:rsid w:val="009A144B"/>
    <w:rsid w:val="009A204C"/>
    <w:rsid w:val="009A26C6"/>
    <w:rsid w:val="009A30A9"/>
    <w:rsid w:val="009A3AC8"/>
    <w:rsid w:val="009A3F92"/>
    <w:rsid w:val="009A4004"/>
    <w:rsid w:val="009A404D"/>
    <w:rsid w:val="009A51DE"/>
    <w:rsid w:val="009A55DC"/>
    <w:rsid w:val="009A5B5E"/>
    <w:rsid w:val="009A5CFF"/>
    <w:rsid w:val="009A6B92"/>
    <w:rsid w:val="009A6E52"/>
    <w:rsid w:val="009A6F81"/>
    <w:rsid w:val="009A74C7"/>
    <w:rsid w:val="009A770C"/>
    <w:rsid w:val="009A788D"/>
    <w:rsid w:val="009B0196"/>
    <w:rsid w:val="009B0CB5"/>
    <w:rsid w:val="009B0E7D"/>
    <w:rsid w:val="009B0EEE"/>
    <w:rsid w:val="009B1E75"/>
    <w:rsid w:val="009B2046"/>
    <w:rsid w:val="009B2AFA"/>
    <w:rsid w:val="009B2FEC"/>
    <w:rsid w:val="009B3117"/>
    <w:rsid w:val="009B337E"/>
    <w:rsid w:val="009B3382"/>
    <w:rsid w:val="009B3AB6"/>
    <w:rsid w:val="009B463C"/>
    <w:rsid w:val="009B4B22"/>
    <w:rsid w:val="009B4DE8"/>
    <w:rsid w:val="009B4F0E"/>
    <w:rsid w:val="009B6A13"/>
    <w:rsid w:val="009B6F01"/>
    <w:rsid w:val="009B7040"/>
    <w:rsid w:val="009B70CF"/>
    <w:rsid w:val="009B7862"/>
    <w:rsid w:val="009B7F73"/>
    <w:rsid w:val="009C0530"/>
    <w:rsid w:val="009C0B04"/>
    <w:rsid w:val="009C0B62"/>
    <w:rsid w:val="009C175B"/>
    <w:rsid w:val="009C1948"/>
    <w:rsid w:val="009C1994"/>
    <w:rsid w:val="009C1A35"/>
    <w:rsid w:val="009C2E42"/>
    <w:rsid w:val="009C350A"/>
    <w:rsid w:val="009C3A69"/>
    <w:rsid w:val="009C47CD"/>
    <w:rsid w:val="009C493F"/>
    <w:rsid w:val="009C4E9D"/>
    <w:rsid w:val="009C51C3"/>
    <w:rsid w:val="009C53C8"/>
    <w:rsid w:val="009C56B5"/>
    <w:rsid w:val="009C69B1"/>
    <w:rsid w:val="009C6B31"/>
    <w:rsid w:val="009C6DAB"/>
    <w:rsid w:val="009C6E73"/>
    <w:rsid w:val="009C7792"/>
    <w:rsid w:val="009D0827"/>
    <w:rsid w:val="009D0943"/>
    <w:rsid w:val="009D0AB4"/>
    <w:rsid w:val="009D0D3A"/>
    <w:rsid w:val="009D1006"/>
    <w:rsid w:val="009D204D"/>
    <w:rsid w:val="009D2A43"/>
    <w:rsid w:val="009D302A"/>
    <w:rsid w:val="009D35C8"/>
    <w:rsid w:val="009D3E11"/>
    <w:rsid w:val="009D4D31"/>
    <w:rsid w:val="009D50B3"/>
    <w:rsid w:val="009D5195"/>
    <w:rsid w:val="009D5D57"/>
    <w:rsid w:val="009D62C1"/>
    <w:rsid w:val="009D68EC"/>
    <w:rsid w:val="009D6F47"/>
    <w:rsid w:val="009D7093"/>
    <w:rsid w:val="009D7291"/>
    <w:rsid w:val="009D743F"/>
    <w:rsid w:val="009D7749"/>
    <w:rsid w:val="009D7A9E"/>
    <w:rsid w:val="009E0186"/>
    <w:rsid w:val="009E10B9"/>
    <w:rsid w:val="009E1786"/>
    <w:rsid w:val="009E1832"/>
    <w:rsid w:val="009E2E28"/>
    <w:rsid w:val="009E2FB3"/>
    <w:rsid w:val="009E3DAB"/>
    <w:rsid w:val="009E4017"/>
    <w:rsid w:val="009E48A8"/>
    <w:rsid w:val="009E4DB8"/>
    <w:rsid w:val="009E4DCD"/>
    <w:rsid w:val="009E5561"/>
    <w:rsid w:val="009E5893"/>
    <w:rsid w:val="009F0B4A"/>
    <w:rsid w:val="009F1370"/>
    <w:rsid w:val="009F193A"/>
    <w:rsid w:val="009F1F58"/>
    <w:rsid w:val="009F37D8"/>
    <w:rsid w:val="009F5339"/>
    <w:rsid w:val="009F5378"/>
    <w:rsid w:val="009F572D"/>
    <w:rsid w:val="009F5980"/>
    <w:rsid w:val="009F69CB"/>
    <w:rsid w:val="009F6B83"/>
    <w:rsid w:val="009F6BE8"/>
    <w:rsid w:val="009F6EB2"/>
    <w:rsid w:val="009F70EE"/>
    <w:rsid w:val="009F71FB"/>
    <w:rsid w:val="009F7553"/>
    <w:rsid w:val="009F78C0"/>
    <w:rsid w:val="009F7DEE"/>
    <w:rsid w:val="00A006ED"/>
    <w:rsid w:val="00A00D76"/>
    <w:rsid w:val="00A00EA7"/>
    <w:rsid w:val="00A010C0"/>
    <w:rsid w:val="00A0201E"/>
    <w:rsid w:val="00A02B8F"/>
    <w:rsid w:val="00A02E5F"/>
    <w:rsid w:val="00A02F8A"/>
    <w:rsid w:val="00A02FF8"/>
    <w:rsid w:val="00A03BB8"/>
    <w:rsid w:val="00A0438D"/>
    <w:rsid w:val="00A043AB"/>
    <w:rsid w:val="00A04963"/>
    <w:rsid w:val="00A052B3"/>
    <w:rsid w:val="00A05D66"/>
    <w:rsid w:val="00A062C7"/>
    <w:rsid w:val="00A076D4"/>
    <w:rsid w:val="00A07746"/>
    <w:rsid w:val="00A07790"/>
    <w:rsid w:val="00A110CF"/>
    <w:rsid w:val="00A111D8"/>
    <w:rsid w:val="00A1183E"/>
    <w:rsid w:val="00A11A95"/>
    <w:rsid w:val="00A11B3A"/>
    <w:rsid w:val="00A11D03"/>
    <w:rsid w:val="00A13486"/>
    <w:rsid w:val="00A13BE0"/>
    <w:rsid w:val="00A13D35"/>
    <w:rsid w:val="00A13D74"/>
    <w:rsid w:val="00A144E9"/>
    <w:rsid w:val="00A148A1"/>
    <w:rsid w:val="00A14A07"/>
    <w:rsid w:val="00A15724"/>
    <w:rsid w:val="00A16D2E"/>
    <w:rsid w:val="00A16E09"/>
    <w:rsid w:val="00A1753D"/>
    <w:rsid w:val="00A17E22"/>
    <w:rsid w:val="00A2026E"/>
    <w:rsid w:val="00A21358"/>
    <w:rsid w:val="00A2141A"/>
    <w:rsid w:val="00A215DE"/>
    <w:rsid w:val="00A21817"/>
    <w:rsid w:val="00A21C3B"/>
    <w:rsid w:val="00A21CA6"/>
    <w:rsid w:val="00A226A2"/>
    <w:rsid w:val="00A2334D"/>
    <w:rsid w:val="00A23530"/>
    <w:rsid w:val="00A24194"/>
    <w:rsid w:val="00A2429D"/>
    <w:rsid w:val="00A24872"/>
    <w:rsid w:val="00A259EA"/>
    <w:rsid w:val="00A26232"/>
    <w:rsid w:val="00A26D07"/>
    <w:rsid w:val="00A27044"/>
    <w:rsid w:val="00A27288"/>
    <w:rsid w:val="00A27991"/>
    <w:rsid w:val="00A309C7"/>
    <w:rsid w:val="00A30A10"/>
    <w:rsid w:val="00A312C1"/>
    <w:rsid w:val="00A314FD"/>
    <w:rsid w:val="00A3173E"/>
    <w:rsid w:val="00A31A76"/>
    <w:rsid w:val="00A31AA7"/>
    <w:rsid w:val="00A32227"/>
    <w:rsid w:val="00A32BA1"/>
    <w:rsid w:val="00A345F7"/>
    <w:rsid w:val="00A349AE"/>
    <w:rsid w:val="00A34E3E"/>
    <w:rsid w:val="00A35121"/>
    <w:rsid w:val="00A352D2"/>
    <w:rsid w:val="00A355B5"/>
    <w:rsid w:val="00A35C52"/>
    <w:rsid w:val="00A35CF3"/>
    <w:rsid w:val="00A36EBD"/>
    <w:rsid w:val="00A37121"/>
    <w:rsid w:val="00A37225"/>
    <w:rsid w:val="00A3728B"/>
    <w:rsid w:val="00A376E3"/>
    <w:rsid w:val="00A40780"/>
    <w:rsid w:val="00A40810"/>
    <w:rsid w:val="00A41853"/>
    <w:rsid w:val="00A41A4B"/>
    <w:rsid w:val="00A425E9"/>
    <w:rsid w:val="00A43A04"/>
    <w:rsid w:val="00A44225"/>
    <w:rsid w:val="00A4558F"/>
    <w:rsid w:val="00A45A96"/>
    <w:rsid w:val="00A464DC"/>
    <w:rsid w:val="00A467E4"/>
    <w:rsid w:val="00A46C6E"/>
    <w:rsid w:val="00A47BD5"/>
    <w:rsid w:val="00A50670"/>
    <w:rsid w:val="00A50C09"/>
    <w:rsid w:val="00A50C73"/>
    <w:rsid w:val="00A51024"/>
    <w:rsid w:val="00A512AC"/>
    <w:rsid w:val="00A51F59"/>
    <w:rsid w:val="00A52444"/>
    <w:rsid w:val="00A52A3E"/>
    <w:rsid w:val="00A53697"/>
    <w:rsid w:val="00A53A3D"/>
    <w:rsid w:val="00A53E03"/>
    <w:rsid w:val="00A546DD"/>
    <w:rsid w:val="00A5517C"/>
    <w:rsid w:val="00A553EE"/>
    <w:rsid w:val="00A55FB1"/>
    <w:rsid w:val="00A56618"/>
    <w:rsid w:val="00A56BD2"/>
    <w:rsid w:val="00A5751F"/>
    <w:rsid w:val="00A5773D"/>
    <w:rsid w:val="00A57924"/>
    <w:rsid w:val="00A57F9F"/>
    <w:rsid w:val="00A6025B"/>
    <w:rsid w:val="00A60378"/>
    <w:rsid w:val="00A60EA2"/>
    <w:rsid w:val="00A61135"/>
    <w:rsid w:val="00A61A68"/>
    <w:rsid w:val="00A6201E"/>
    <w:rsid w:val="00A62353"/>
    <w:rsid w:val="00A62905"/>
    <w:rsid w:val="00A6290F"/>
    <w:rsid w:val="00A62CC2"/>
    <w:rsid w:val="00A631EF"/>
    <w:rsid w:val="00A632A2"/>
    <w:rsid w:val="00A6354F"/>
    <w:rsid w:val="00A63AD5"/>
    <w:rsid w:val="00A653A0"/>
    <w:rsid w:val="00A65455"/>
    <w:rsid w:val="00A65BC3"/>
    <w:rsid w:val="00A65E87"/>
    <w:rsid w:val="00A65F39"/>
    <w:rsid w:val="00A661B4"/>
    <w:rsid w:val="00A66447"/>
    <w:rsid w:val="00A66C58"/>
    <w:rsid w:val="00A66EBB"/>
    <w:rsid w:val="00A66FCF"/>
    <w:rsid w:val="00A6755E"/>
    <w:rsid w:val="00A6791F"/>
    <w:rsid w:val="00A67E64"/>
    <w:rsid w:val="00A707C9"/>
    <w:rsid w:val="00A70E45"/>
    <w:rsid w:val="00A71283"/>
    <w:rsid w:val="00A71370"/>
    <w:rsid w:val="00A71698"/>
    <w:rsid w:val="00A71D11"/>
    <w:rsid w:val="00A72241"/>
    <w:rsid w:val="00A72E3B"/>
    <w:rsid w:val="00A73E6B"/>
    <w:rsid w:val="00A74537"/>
    <w:rsid w:val="00A74B03"/>
    <w:rsid w:val="00A75341"/>
    <w:rsid w:val="00A76482"/>
    <w:rsid w:val="00A76531"/>
    <w:rsid w:val="00A80895"/>
    <w:rsid w:val="00A80E41"/>
    <w:rsid w:val="00A80E96"/>
    <w:rsid w:val="00A81066"/>
    <w:rsid w:val="00A81339"/>
    <w:rsid w:val="00A813E4"/>
    <w:rsid w:val="00A814F9"/>
    <w:rsid w:val="00A8168C"/>
    <w:rsid w:val="00A8169C"/>
    <w:rsid w:val="00A816B6"/>
    <w:rsid w:val="00A816D8"/>
    <w:rsid w:val="00A81C6D"/>
    <w:rsid w:val="00A81DD4"/>
    <w:rsid w:val="00A81E32"/>
    <w:rsid w:val="00A8290A"/>
    <w:rsid w:val="00A82AAB"/>
    <w:rsid w:val="00A83897"/>
    <w:rsid w:val="00A84916"/>
    <w:rsid w:val="00A84C58"/>
    <w:rsid w:val="00A84CD7"/>
    <w:rsid w:val="00A85BF2"/>
    <w:rsid w:val="00A864BA"/>
    <w:rsid w:val="00A86D47"/>
    <w:rsid w:val="00A872DD"/>
    <w:rsid w:val="00A8771F"/>
    <w:rsid w:val="00A87A23"/>
    <w:rsid w:val="00A87A5B"/>
    <w:rsid w:val="00A90945"/>
    <w:rsid w:val="00A91074"/>
    <w:rsid w:val="00A9113A"/>
    <w:rsid w:val="00A91509"/>
    <w:rsid w:val="00A91CFE"/>
    <w:rsid w:val="00A92917"/>
    <w:rsid w:val="00A92AD7"/>
    <w:rsid w:val="00A931CD"/>
    <w:rsid w:val="00A93596"/>
    <w:rsid w:val="00A93B06"/>
    <w:rsid w:val="00A9401E"/>
    <w:rsid w:val="00A942DC"/>
    <w:rsid w:val="00A9456F"/>
    <w:rsid w:val="00A947FF"/>
    <w:rsid w:val="00A953BD"/>
    <w:rsid w:val="00A95606"/>
    <w:rsid w:val="00A956BC"/>
    <w:rsid w:val="00A95848"/>
    <w:rsid w:val="00A975F4"/>
    <w:rsid w:val="00A976E6"/>
    <w:rsid w:val="00A9775D"/>
    <w:rsid w:val="00A979E1"/>
    <w:rsid w:val="00A97E38"/>
    <w:rsid w:val="00AA032D"/>
    <w:rsid w:val="00AA0557"/>
    <w:rsid w:val="00AA08A2"/>
    <w:rsid w:val="00AA1E4A"/>
    <w:rsid w:val="00AA25D1"/>
    <w:rsid w:val="00AA271C"/>
    <w:rsid w:val="00AA2894"/>
    <w:rsid w:val="00AA3238"/>
    <w:rsid w:val="00AA3490"/>
    <w:rsid w:val="00AA376E"/>
    <w:rsid w:val="00AA3C36"/>
    <w:rsid w:val="00AA40A1"/>
    <w:rsid w:val="00AA43A4"/>
    <w:rsid w:val="00AA4DDE"/>
    <w:rsid w:val="00AA502B"/>
    <w:rsid w:val="00AA519E"/>
    <w:rsid w:val="00AA57BB"/>
    <w:rsid w:val="00AA5F86"/>
    <w:rsid w:val="00AA624C"/>
    <w:rsid w:val="00AA70D4"/>
    <w:rsid w:val="00AA7E81"/>
    <w:rsid w:val="00AA7F78"/>
    <w:rsid w:val="00AB0F1A"/>
    <w:rsid w:val="00AB1161"/>
    <w:rsid w:val="00AB120B"/>
    <w:rsid w:val="00AB2613"/>
    <w:rsid w:val="00AB26A4"/>
    <w:rsid w:val="00AB2DEE"/>
    <w:rsid w:val="00AB2E83"/>
    <w:rsid w:val="00AB3480"/>
    <w:rsid w:val="00AB414C"/>
    <w:rsid w:val="00AB4809"/>
    <w:rsid w:val="00AB4E27"/>
    <w:rsid w:val="00AB4E88"/>
    <w:rsid w:val="00AB56B5"/>
    <w:rsid w:val="00AB5C69"/>
    <w:rsid w:val="00AB67DB"/>
    <w:rsid w:val="00AB6AB7"/>
    <w:rsid w:val="00AB6B98"/>
    <w:rsid w:val="00AB7997"/>
    <w:rsid w:val="00AB7C1A"/>
    <w:rsid w:val="00AC0C96"/>
    <w:rsid w:val="00AC12CD"/>
    <w:rsid w:val="00AC1434"/>
    <w:rsid w:val="00AC18DE"/>
    <w:rsid w:val="00AC204A"/>
    <w:rsid w:val="00AC2CBE"/>
    <w:rsid w:val="00AC2F9A"/>
    <w:rsid w:val="00AC33AE"/>
    <w:rsid w:val="00AC34F6"/>
    <w:rsid w:val="00AC39A5"/>
    <w:rsid w:val="00AC4371"/>
    <w:rsid w:val="00AC4C4D"/>
    <w:rsid w:val="00AC5683"/>
    <w:rsid w:val="00AC69A8"/>
    <w:rsid w:val="00AC7D12"/>
    <w:rsid w:val="00AD0509"/>
    <w:rsid w:val="00AD07F7"/>
    <w:rsid w:val="00AD0C92"/>
    <w:rsid w:val="00AD106A"/>
    <w:rsid w:val="00AD135A"/>
    <w:rsid w:val="00AD140C"/>
    <w:rsid w:val="00AD17B7"/>
    <w:rsid w:val="00AD1AB8"/>
    <w:rsid w:val="00AD1AF1"/>
    <w:rsid w:val="00AD1BF8"/>
    <w:rsid w:val="00AD1E78"/>
    <w:rsid w:val="00AD3B92"/>
    <w:rsid w:val="00AD43D9"/>
    <w:rsid w:val="00AD44E0"/>
    <w:rsid w:val="00AD4DE4"/>
    <w:rsid w:val="00AD5013"/>
    <w:rsid w:val="00AD5040"/>
    <w:rsid w:val="00AD50E4"/>
    <w:rsid w:val="00AD6DF4"/>
    <w:rsid w:val="00AD6E52"/>
    <w:rsid w:val="00AD704B"/>
    <w:rsid w:val="00AD72E3"/>
    <w:rsid w:val="00AE01CE"/>
    <w:rsid w:val="00AE08D0"/>
    <w:rsid w:val="00AE09D0"/>
    <w:rsid w:val="00AE0B5D"/>
    <w:rsid w:val="00AE0F1E"/>
    <w:rsid w:val="00AE1091"/>
    <w:rsid w:val="00AE19EB"/>
    <w:rsid w:val="00AE2683"/>
    <w:rsid w:val="00AE2B47"/>
    <w:rsid w:val="00AE359B"/>
    <w:rsid w:val="00AE386D"/>
    <w:rsid w:val="00AE3E52"/>
    <w:rsid w:val="00AE40C2"/>
    <w:rsid w:val="00AE44EB"/>
    <w:rsid w:val="00AE51C5"/>
    <w:rsid w:val="00AE6477"/>
    <w:rsid w:val="00AE7856"/>
    <w:rsid w:val="00AF01B1"/>
    <w:rsid w:val="00AF0394"/>
    <w:rsid w:val="00AF09F3"/>
    <w:rsid w:val="00AF0A8B"/>
    <w:rsid w:val="00AF2DF3"/>
    <w:rsid w:val="00AF321F"/>
    <w:rsid w:val="00AF380D"/>
    <w:rsid w:val="00AF3B91"/>
    <w:rsid w:val="00AF4003"/>
    <w:rsid w:val="00AF4168"/>
    <w:rsid w:val="00AF4282"/>
    <w:rsid w:val="00AF49A6"/>
    <w:rsid w:val="00AF5662"/>
    <w:rsid w:val="00AF5BFA"/>
    <w:rsid w:val="00AF600B"/>
    <w:rsid w:val="00AF61B0"/>
    <w:rsid w:val="00AF6389"/>
    <w:rsid w:val="00AF6813"/>
    <w:rsid w:val="00AF68C2"/>
    <w:rsid w:val="00AF6C9B"/>
    <w:rsid w:val="00AF6F2C"/>
    <w:rsid w:val="00B017F7"/>
    <w:rsid w:val="00B018D8"/>
    <w:rsid w:val="00B01E75"/>
    <w:rsid w:val="00B02512"/>
    <w:rsid w:val="00B025C8"/>
    <w:rsid w:val="00B02978"/>
    <w:rsid w:val="00B02F99"/>
    <w:rsid w:val="00B035B0"/>
    <w:rsid w:val="00B04337"/>
    <w:rsid w:val="00B044B9"/>
    <w:rsid w:val="00B04581"/>
    <w:rsid w:val="00B051EC"/>
    <w:rsid w:val="00B0524C"/>
    <w:rsid w:val="00B05564"/>
    <w:rsid w:val="00B0592B"/>
    <w:rsid w:val="00B05F44"/>
    <w:rsid w:val="00B06074"/>
    <w:rsid w:val="00B073BD"/>
    <w:rsid w:val="00B0761F"/>
    <w:rsid w:val="00B07B26"/>
    <w:rsid w:val="00B10C97"/>
    <w:rsid w:val="00B1116E"/>
    <w:rsid w:val="00B11467"/>
    <w:rsid w:val="00B11A1F"/>
    <w:rsid w:val="00B124CC"/>
    <w:rsid w:val="00B13D11"/>
    <w:rsid w:val="00B140FC"/>
    <w:rsid w:val="00B146A6"/>
    <w:rsid w:val="00B14ADC"/>
    <w:rsid w:val="00B14D7C"/>
    <w:rsid w:val="00B15110"/>
    <w:rsid w:val="00B15113"/>
    <w:rsid w:val="00B15813"/>
    <w:rsid w:val="00B15C77"/>
    <w:rsid w:val="00B15EA3"/>
    <w:rsid w:val="00B1613F"/>
    <w:rsid w:val="00B16AD6"/>
    <w:rsid w:val="00B16B0E"/>
    <w:rsid w:val="00B16BAF"/>
    <w:rsid w:val="00B16E1A"/>
    <w:rsid w:val="00B17AA4"/>
    <w:rsid w:val="00B17D18"/>
    <w:rsid w:val="00B20272"/>
    <w:rsid w:val="00B203FB"/>
    <w:rsid w:val="00B20CE1"/>
    <w:rsid w:val="00B20CF5"/>
    <w:rsid w:val="00B20EE3"/>
    <w:rsid w:val="00B21FD1"/>
    <w:rsid w:val="00B2209A"/>
    <w:rsid w:val="00B22242"/>
    <w:rsid w:val="00B22707"/>
    <w:rsid w:val="00B22892"/>
    <w:rsid w:val="00B229C6"/>
    <w:rsid w:val="00B236CC"/>
    <w:rsid w:val="00B23749"/>
    <w:rsid w:val="00B23CA7"/>
    <w:rsid w:val="00B24620"/>
    <w:rsid w:val="00B25818"/>
    <w:rsid w:val="00B25A2A"/>
    <w:rsid w:val="00B25EE1"/>
    <w:rsid w:val="00B266DF"/>
    <w:rsid w:val="00B26C8D"/>
    <w:rsid w:val="00B27C03"/>
    <w:rsid w:val="00B27E83"/>
    <w:rsid w:val="00B3054B"/>
    <w:rsid w:val="00B305C1"/>
    <w:rsid w:val="00B30DD2"/>
    <w:rsid w:val="00B3157E"/>
    <w:rsid w:val="00B31C03"/>
    <w:rsid w:val="00B31D90"/>
    <w:rsid w:val="00B32149"/>
    <w:rsid w:val="00B324D0"/>
    <w:rsid w:val="00B32CD8"/>
    <w:rsid w:val="00B33362"/>
    <w:rsid w:val="00B335AF"/>
    <w:rsid w:val="00B33879"/>
    <w:rsid w:val="00B33B05"/>
    <w:rsid w:val="00B344A2"/>
    <w:rsid w:val="00B34A4E"/>
    <w:rsid w:val="00B34D5E"/>
    <w:rsid w:val="00B34EEA"/>
    <w:rsid w:val="00B3506E"/>
    <w:rsid w:val="00B35705"/>
    <w:rsid w:val="00B35A5D"/>
    <w:rsid w:val="00B36C2D"/>
    <w:rsid w:val="00B36C8B"/>
    <w:rsid w:val="00B376FE"/>
    <w:rsid w:val="00B37D32"/>
    <w:rsid w:val="00B402F7"/>
    <w:rsid w:val="00B40458"/>
    <w:rsid w:val="00B40564"/>
    <w:rsid w:val="00B406B7"/>
    <w:rsid w:val="00B40B9D"/>
    <w:rsid w:val="00B40E2E"/>
    <w:rsid w:val="00B41281"/>
    <w:rsid w:val="00B432D9"/>
    <w:rsid w:val="00B43EEF"/>
    <w:rsid w:val="00B44254"/>
    <w:rsid w:val="00B452E9"/>
    <w:rsid w:val="00B45B41"/>
    <w:rsid w:val="00B46CC8"/>
    <w:rsid w:val="00B47D0C"/>
    <w:rsid w:val="00B500F2"/>
    <w:rsid w:val="00B50E0A"/>
    <w:rsid w:val="00B50FA2"/>
    <w:rsid w:val="00B51073"/>
    <w:rsid w:val="00B516AA"/>
    <w:rsid w:val="00B51771"/>
    <w:rsid w:val="00B51A9B"/>
    <w:rsid w:val="00B52CAD"/>
    <w:rsid w:val="00B5356A"/>
    <w:rsid w:val="00B53BC8"/>
    <w:rsid w:val="00B53F92"/>
    <w:rsid w:val="00B54162"/>
    <w:rsid w:val="00B543F8"/>
    <w:rsid w:val="00B55BE7"/>
    <w:rsid w:val="00B5642B"/>
    <w:rsid w:val="00B5645C"/>
    <w:rsid w:val="00B56CEE"/>
    <w:rsid w:val="00B57BC1"/>
    <w:rsid w:val="00B57D86"/>
    <w:rsid w:val="00B60541"/>
    <w:rsid w:val="00B617B1"/>
    <w:rsid w:val="00B61D33"/>
    <w:rsid w:val="00B62094"/>
    <w:rsid w:val="00B636D4"/>
    <w:rsid w:val="00B64B92"/>
    <w:rsid w:val="00B668AB"/>
    <w:rsid w:val="00B66D89"/>
    <w:rsid w:val="00B66DBB"/>
    <w:rsid w:val="00B671E7"/>
    <w:rsid w:val="00B6776C"/>
    <w:rsid w:val="00B678D2"/>
    <w:rsid w:val="00B67E44"/>
    <w:rsid w:val="00B703CF"/>
    <w:rsid w:val="00B70FD9"/>
    <w:rsid w:val="00B7115F"/>
    <w:rsid w:val="00B71991"/>
    <w:rsid w:val="00B71BD4"/>
    <w:rsid w:val="00B726C5"/>
    <w:rsid w:val="00B733AD"/>
    <w:rsid w:val="00B738D6"/>
    <w:rsid w:val="00B73AC7"/>
    <w:rsid w:val="00B73C7B"/>
    <w:rsid w:val="00B73DBE"/>
    <w:rsid w:val="00B74095"/>
    <w:rsid w:val="00B74B6F"/>
    <w:rsid w:val="00B75315"/>
    <w:rsid w:val="00B7562A"/>
    <w:rsid w:val="00B759ED"/>
    <w:rsid w:val="00B7662F"/>
    <w:rsid w:val="00B76717"/>
    <w:rsid w:val="00B77723"/>
    <w:rsid w:val="00B814F6"/>
    <w:rsid w:val="00B81BD9"/>
    <w:rsid w:val="00B81EBB"/>
    <w:rsid w:val="00B831E7"/>
    <w:rsid w:val="00B832AB"/>
    <w:rsid w:val="00B84D0F"/>
    <w:rsid w:val="00B84F40"/>
    <w:rsid w:val="00B850CF"/>
    <w:rsid w:val="00B8551A"/>
    <w:rsid w:val="00B85A3B"/>
    <w:rsid w:val="00B85BE7"/>
    <w:rsid w:val="00B86664"/>
    <w:rsid w:val="00B8671C"/>
    <w:rsid w:val="00B8672C"/>
    <w:rsid w:val="00B87068"/>
    <w:rsid w:val="00B873B3"/>
    <w:rsid w:val="00B90D3C"/>
    <w:rsid w:val="00B90EF9"/>
    <w:rsid w:val="00B91BCF"/>
    <w:rsid w:val="00B92010"/>
    <w:rsid w:val="00B921E0"/>
    <w:rsid w:val="00B92965"/>
    <w:rsid w:val="00B92A5B"/>
    <w:rsid w:val="00B92E1D"/>
    <w:rsid w:val="00B933CF"/>
    <w:rsid w:val="00B93833"/>
    <w:rsid w:val="00B938C7"/>
    <w:rsid w:val="00B93C5C"/>
    <w:rsid w:val="00B94299"/>
    <w:rsid w:val="00B948E7"/>
    <w:rsid w:val="00B95029"/>
    <w:rsid w:val="00B95657"/>
    <w:rsid w:val="00B95727"/>
    <w:rsid w:val="00B96115"/>
    <w:rsid w:val="00B9674E"/>
    <w:rsid w:val="00B96E3A"/>
    <w:rsid w:val="00BA01C9"/>
    <w:rsid w:val="00BA023B"/>
    <w:rsid w:val="00BA0616"/>
    <w:rsid w:val="00BA0674"/>
    <w:rsid w:val="00BA0861"/>
    <w:rsid w:val="00BA0F9C"/>
    <w:rsid w:val="00BA1373"/>
    <w:rsid w:val="00BA23D0"/>
    <w:rsid w:val="00BA34A3"/>
    <w:rsid w:val="00BA34FD"/>
    <w:rsid w:val="00BA396D"/>
    <w:rsid w:val="00BA40E6"/>
    <w:rsid w:val="00BA43AD"/>
    <w:rsid w:val="00BA4967"/>
    <w:rsid w:val="00BA4972"/>
    <w:rsid w:val="00BA4990"/>
    <w:rsid w:val="00BA4FD4"/>
    <w:rsid w:val="00BA53F7"/>
    <w:rsid w:val="00BA5DEF"/>
    <w:rsid w:val="00BA61FE"/>
    <w:rsid w:val="00BA63BA"/>
    <w:rsid w:val="00BA64AE"/>
    <w:rsid w:val="00BA6682"/>
    <w:rsid w:val="00BA694D"/>
    <w:rsid w:val="00BA76AD"/>
    <w:rsid w:val="00BA7801"/>
    <w:rsid w:val="00BA7F8E"/>
    <w:rsid w:val="00BB0207"/>
    <w:rsid w:val="00BB05AC"/>
    <w:rsid w:val="00BB06CA"/>
    <w:rsid w:val="00BB0881"/>
    <w:rsid w:val="00BB0E35"/>
    <w:rsid w:val="00BB1F29"/>
    <w:rsid w:val="00BB2918"/>
    <w:rsid w:val="00BB2D1B"/>
    <w:rsid w:val="00BB32D7"/>
    <w:rsid w:val="00BB4733"/>
    <w:rsid w:val="00BB4EF0"/>
    <w:rsid w:val="00BB59E0"/>
    <w:rsid w:val="00BB5D1A"/>
    <w:rsid w:val="00BB6BB0"/>
    <w:rsid w:val="00BB6CC4"/>
    <w:rsid w:val="00BB6E79"/>
    <w:rsid w:val="00BB6EB7"/>
    <w:rsid w:val="00BB7E41"/>
    <w:rsid w:val="00BC0738"/>
    <w:rsid w:val="00BC085F"/>
    <w:rsid w:val="00BC0AE2"/>
    <w:rsid w:val="00BC0C57"/>
    <w:rsid w:val="00BC0E25"/>
    <w:rsid w:val="00BC1C30"/>
    <w:rsid w:val="00BC1F99"/>
    <w:rsid w:val="00BC2484"/>
    <w:rsid w:val="00BC2AC6"/>
    <w:rsid w:val="00BC2E39"/>
    <w:rsid w:val="00BC3D89"/>
    <w:rsid w:val="00BC3F21"/>
    <w:rsid w:val="00BC41E0"/>
    <w:rsid w:val="00BC48E9"/>
    <w:rsid w:val="00BC4B73"/>
    <w:rsid w:val="00BC4DF2"/>
    <w:rsid w:val="00BC6104"/>
    <w:rsid w:val="00BC6FB6"/>
    <w:rsid w:val="00BC7171"/>
    <w:rsid w:val="00BC7BBF"/>
    <w:rsid w:val="00BC7FCE"/>
    <w:rsid w:val="00BD034A"/>
    <w:rsid w:val="00BD03DB"/>
    <w:rsid w:val="00BD152B"/>
    <w:rsid w:val="00BD1B27"/>
    <w:rsid w:val="00BD2276"/>
    <w:rsid w:val="00BD2946"/>
    <w:rsid w:val="00BD3337"/>
    <w:rsid w:val="00BD3E03"/>
    <w:rsid w:val="00BD3FA7"/>
    <w:rsid w:val="00BD47E7"/>
    <w:rsid w:val="00BD5AB8"/>
    <w:rsid w:val="00BD5B9A"/>
    <w:rsid w:val="00BD67C2"/>
    <w:rsid w:val="00BD6980"/>
    <w:rsid w:val="00BE09F7"/>
    <w:rsid w:val="00BE175C"/>
    <w:rsid w:val="00BE1EFA"/>
    <w:rsid w:val="00BE20EF"/>
    <w:rsid w:val="00BE2212"/>
    <w:rsid w:val="00BE2396"/>
    <w:rsid w:val="00BE23F3"/>
    <w:rsid w:val="00BE2AD6"/>
    <w:rsid w:val="00BE2CA8"/>
    <w:rsid w:val="00BE319E"/>
    <w:rsid w:val="00BE31B9"/>
    <w:rsid w:val="00BE35EB"/>
    <w:rsid w:val="00BE39D3"/>
    <w:rsid w:val="00BE3A5E"/>
    <w:rsid w:val="00BE4289"/>
    <w:rsid w:val="00BE486F"/>
    <w:rsid w:val="00BE495D"/>
    <w:rsid w:val="00BE4A86"/>
    <w:rsid w:val="00BE4CD9"/>
    <w:rsid w:val="00BE4E0D"/>
    <w:rsid w:val="00BE52F6"/>
    <w:rsid w:val="00BE56BB"/>
    <w:rsid w:val="00BE5AFF"/>
    <w:rsid w:val="00BE5B76"/>
    <w:rsid w:val="00BE5C6F"/>
    <w:rsid w:val="00BE6042"/>
    <w:rsid w:val="00BE6305"/>
    <w:rsid w:val="00BE64DE"/>
    <w:rsid w:val="00BE6907"/>
    <w:rsid w:val="00BE6C5D"/>
    <w:rsid w:val="00BE6D93"/>
    <w:rsid w:val="00BE6F51"/>
    <w:rsid w:val="00BE708E"/>
    <w:rsid w:val="00BE7523"/>
    <w:rsid w:val="00BE7678"/>
    <w:rsid w:val="00BE7CF7"/>
    <w:rsid w:val="00BE7D1D"/>
    <w:rsid w:val="00BF008A"/>
    <w:rsid w:val="00BF0311"/>
    <w:rsid w:val="00BF0CD9"/>
    <w:rsid w:val="00BF1948"/>
    <w:rsid w:val="00BF1C91"/>
    <w:rsid w:val="00BF1E6B"/>
    <w:rsid w:val="00BF24A4"/>
    <w:rsid w:val="00BF25DE"/>
    <w:rsid w:val="00BF26D6"/>
    <w:rsid w:val="00BF271A"/>
    <w:rsid w:val="00BF28D8"/>
    <w:rsid w:val="00BF2FD8"/>
    <w:rsid w:val="00BF3925"/>
    <w:rsid w:val="00BF3CA0"/>
    <w:rsid w:val="00BF4085"/>
    <w:rsid w:val="00BF464E"/>
    <w:rsid w:val="00BF481D"/>
    <w:rsid w:val="00BF5382"/>
    <w:rsid w:val="00BF54D1"/>
    <w:rsid w:val="00BF5CFE"/>
    <w:rsid w:val="00BF5D17"/>
    <w:rsid w:val="00BF618A"/>
    <w:rsid w:val="00BF63E4"/>
    <w:rsid w:val="00BF6DCF"/>
    <w:rsid w:val="00BF7370"/>
    <w:rsid w:val="00BF7499"/>
    <w:rsid w:val="00BF795C"/>
    <w:rsid w:val="00BF7985"/>
    <w:rsid w:val="00BF7C19"/>
    <w:rsid w:val="00C013B5"/>
    <w:rsid w:val="00C016DD"/>
    <w:rsid w:val="00C020F9"/>
    <w:rsid w:val="00C026A3"/>
    <w:rsid w:val="00C0280A"/>
    <w:rsid w:val="00C02B2D"/>
    <w:rsid w:val="00C04CDB"/>
    <w:rsid w:val="00C05E17"/>
    <w:rsid w:val="00C05F4D"/>
    <w:rsid w:val="00C07043"/>
    <w:rsid w:val="00C077E2"/>
    <w:rsid w:val="00C07C51"/>
    <w:rsid w:val="00C07C70"/>
    <w:rsid w:val="00C107E3"/>
    <w:rsid w:val="00C10F5B"/>
    <w:rsid w:val="00C111CA"/>
    <w:rsid w:val="00C112FE"/>
    <w:rsid w:val="00C11826"/>
    <w:rsid w:val="00C11BFE"/>
    <w:rsid w:val="00C122AD"/>
    <w:rsid w:val="00C1302E"/>
    <w:rsid w:val="00C13494"/>
    <w:rsid w:val="00C134AB"/>
    <w:rsid w:val="00C135A8"/>
    <w:rsid w:val="00C13D85"/>
    <w:rsid w:val="00C141F1"/>
    <w:rsid w:val="00C142C3"/>
    <w:rsid w:val="00C147F1"/>
    <w:rsid w:val="00C14878"/>
    <w:rsid w:val="00C14B6F"/>
    <w:rsid w:val="00C14BDF"/>
    <w:rsid w:val="00C1544F"/>
    <w:rsid w:val="00C15893"/>
    <w:rsid w:val="00C15A15"/>
    <w:rsid w:val="00C165E0"/>
    <w:rsid w:val="00C168A0"/>
    <w:rsid w:val="00C16AA8"/>
    <w:rsid w:val="00C16FB2"/>
    <w:rsid w:val="00C178BF"/>
    <w:rsid w:val="00C179CC"/>
    <w:rsid w:val="00C17ED8"/>
    <w:rsid w:val="00C17F33"/>
    <w:rsid w:val="00C22423"/>
    <w:rsid w:val="00C226E7"/>
    <w:rsid w:val="00C22A0E"/>
    <w:rsid w:val="00C22ADC"/>
    <w:rsid w:val="00C22D9D"/>
    <w:rsid w:val="00C22E1C"/>
    <w:rsid w:val="00C23B7A"/>
    <w:rsid w:val="00C240A9"/>
    <w:rsid w:val="00C24C9D"/>
    <w:rsid w:val="00C25956"/>
    <w:rsid w:val="00C27816"/>
    <w:rsid w:val="00C302F9"/>
    <w:rsid w:val="00C30A8D"/>
    <w:rsid w:val="00C30E91"/>
    <w:rsid w:val="00C318F3"/>
    <w:rsid w:val="00C32509"/>
    <w:rsid w:val="00C337CD"/>
    <w:rsid w:val="00C339A8"/>
    <w:rsid w:val="00C34254"/>
    <w:rsid w:val="00C34B2C"/>
    <w:rsid w:val="00C34E61"/>
    <w:rsid w:val="00C35232"/>
    <w:rsid w:val="00C35280"/>
    <w:rsid w:val="00C352E5"/>
    <w:rsid w:val="00C356ED"/>
    <w:rsid w:val="00C356FD"/>
    <w:rsid w:val="00C35DAB"/>
    <w:rsid w:val="00C361E1"/>
    <w:rsid w:val="00C361EE"/>
    <w:rsid w:val="00C362DD"/>
    <w:rsid w:val="00C36897"/>
    <w:rsid w:val="00C36B19"/>
    <w:rsid w:val="00C37177"/>
    <w:rsid w:val="00C3771D"/>
    <w:rsid w:val="00C37FCA"/>
    <w:rsid w:val="00C40051"/>
    <w:rsid w:val="00C4066C"/>
    <w:rsid w:val="00C40841"/>
    <w:rsid w:val="00C40AB9"/>
    <w:rsid w:val="00C40B15"/>
    <w:rsid w:val="00C40E54"/>
    <w:rsid w:val="00C4135B"/>
    <w:rsid w:val="00C418F3"/>
    <w:rsid w:val="00C41F81"/>
    <w:rsid w:val="00C42411"/>
    <w:rsid w:val="00C43275"/>
    <w:rsid w:val="00C432C5"/>
    <w:rsid w:val="00C433C2"/>
    <w:rsid w:val="00C438AA"/>
    <w:rsid w:val="00C44737"/>
    <w:rsid w:val="00C45F41"/>
    <w:rsid w:val="00C46094"/>
    <w:rsid w:val="00C46198"/>
    <w:rsid w:val="00C466B9"/>
    <w:rsid w:val="00C50663"/>
    <w:rsid w:val="00C508FB"/>
    <w:rsid w:val="00C50B7E"/>
    <w:rsid w:val="00C50C88"/>
    <w:rsid w:val="00C51280"/>
    <w:rsid w:val="00C51835"/>
    <w:rsid w:val="00C51D7D"/>
    <w:rsid w:val="00C51FD0"/>
    <w:rsid w:val="00C52241"/>
    <w:rsid w:val="00C523CF"/>
    <w:rsid w:val="00C524C4"/>
    <w:rsid w:val="00C52977"/>
    <w:rsid w:val="00C52CCE"/>
    <w:rsid w:val="00C530ED"/>
    <w:rsid w:val="00C53E31"/>
    <w:rsid w:val="00C53E74"/>
    <w:rsid w:val="00C53E83"/>
    <w:rsid w:val="00C53FD6"/>
    <w:rsid w:val="00C5411C"/>
    <w:rsid w:val="00C54297"/>
    <w:rsid w:val="00C54390"/>
    <w:rsid w:val="00C54704"/>
    <w:rsid w:val="00C548E3"/>
    <w:rsid w:val="00C54A85"/>
    <w:rsid w:val="00C54E06"/>
    <w:rsid w:val="00C55133"/>
    <w:rsid w:val="00C55714"/>
    <w:rsid w:val="00C56049"/>
    <w:rsid w:val="00C5617A"/>
    <w:rsid w:val="00C561BF"/>
    <w:rsid w:val="00C5631F"/>
    <w:rsid w:val="00C56D20"/>
    <w:rsid w:val="00C56E04"/>
    <w:rsid w:val="00C56F55"/>
    <w:rsid w:val="00C6023B"/>
    <w:rsid w:val="00C60AAD"/>
    <w:rsid w:val="00C6140E"/>
    <w:rsid w:val="00C61BF5"/>
    <w:rsid w:val="00C6221A"/>
    <w:rsid w:val="00C62B01"/>
    <w:rsid w:val="00C62B1C"/>
    <w:rsid w:val="00C64FB3"/>
    <w:rsid w:val="00C654F5"/>
    <w:rsid w:val="00C6565A"/>
    <w:rsid w:val="00C65ACE"/>
    <w:rsid w:val="00C65B51"/>
    <w:rsid w:val="00C66A64"/>
    <w:rsid w:val="00C66C17"/>
    <w:rsid w:val="00C66DC0"/>
    <w:rsid w:val="00C67503"/>
    <w:rsid w:val="00C67A55"/>
    <w:rsid w:val="00C67E04"/>
    <w:rsid w:val="00C70205"/>
    <w:rsid w:val="00C70F21"/>
    <w:rsid w:val="00C71211"/>
    <w:rsid w:val="00C71B67"/>
    <w:rsid w:val="00C722FD"/>
    <w:rsid w:val="00C72881"/>
    <w:rsid w:val="00C72C0D"/>
    <w:rsid w:val="00C730DF"/>
    <w:rsid w:val="00C7377A"/>
    <w:rsid w:val="00C73D32"/>
    <w:rsid w:val="00C74F1A"/>
    <w:rsid w:val="00C75189"/>
    <w:rsid w:val="00C75312"/>
    <w:rsid w:val="00C75559"/>
    <w:rsid w:val="00C75885"/>
    <w:rsid w:val="00C760C6"/>
    <w:rsid w:val="00C76268"/>
    <w:rsid w:val="00C765EB"/>
    <w:rsid w:val="00C76BC5"/>
    <w:rsid w:val="00C76FEB"/>
    <w:rsid w:val="00C7703E"/>
    <w:rsid w:val="00C77190"/>
    <w:rsid w:val="00C778F9"/>
    <w:rsid w:val="00C803D6"/>
    <w:rsid w:val="00C80A21"/>
    <w:rsid w:val="00C80B4E"/>
    <w:rsid w:val="00C812FF"/>
    <w:rsid w:val="00C813E7"/>
    <w:rsid w:val="00C8151C"/>
    <w:rsid w:val="00C81AA8"/>
    <w:rsid w:val="00C81B8A"/>
    <w:rsid w:val="00C81BD6"/>
    <w:rsid w:val="00C81F5F"/>
    <w:rsid w:val="00C821E9"/>
    <w:rsid w:val="00C82E60"/>
    <w:rsid w:val="00C8319C"/>
    <w:rsid w:val="00C833E5"/>
    <w:rsid w:val="00C8393B"/>
    <w:rsid w:val="00C83CB6"/>
    <w:rsid w:val="00C8464A"/>
    <w:rsid w:val="00C85D19"/>
    <w:rsid w:val="00C85E6F"/>
    <w:rsid w:val="00C870D6"/>
    <w:rsid w:val="00C8735A"/>
    <w:rsid w:val="00C8758F"/>
    <w:rsid w:val="00C87AF7"/>
    <w:rsid w:val="00C87F4E"/>
    <w:rsid w:val="00C87F62"/>
    <w:rsid w:val="00C87F93"/>
    <w:rsid w:val="00C908F6"/>
    <w:rsid w:val="00C91C81"/>
    <w:rsid w:val="00C91EB7"/>
    <w:rsid w:val="00C9223A"/>
    <w:rsid w:val="00C926B1"/>
    <w:rsid w:val="00C9288B"/>
    <w:rsid w:val="00C92E9C"/>
    <w:rsid w:val="00C93101"/>
    <w:rsid w:val="00C933E3"/>
    <w:rsid w:val="00C93B71"/>
    <w:rsid w:val="00C93D5A"/>
    <w:rsid w:val="00C93E24"/>
    <w:rsid w:val="00C947DD"/>
    <w:rsid w:val="00C94995"/>
    <w:rsid w:val="00C94A54"/>
    <w:rsid w:val="00C94E40"/>
    <w:rsid w:val="00C955FE"/>
    <w:rsid w:val="00C95C59"/>
    <w:rsid w:val="00C95F23"/>
    <w:rsid w:val="00C979D1"/>
    <w:rsid w:val="00CA0037"/>
    <w:rsid w:val="00CA00DF"/>
    <w:rsid w:val="00CA05FE"/>
    <w:rsid w:val="00CA0667"/>
    <w:rsid w:val="00CA06C0"/>
    <w:rsid w:val="00CA0FB2"/>
    <w:rsid w:val="00CA1B39"/>
    <w:rsid w:val="00CA1B71"/>
    <w:rsid w:val="00CA1DAE"/>
    <w:rsid w:val="00CA2094"/>
    <w:rsid w:val="00CA23D6"/>
    <w:rsid w:val="00CA2536"/>
    <w:rsid w:val="00CA2A6E"/>
    <w:rsid w:val="00CA2E1C"/>
    <w:rsid w:val="00CA33CB"/>
    <w:rsid w:val="00CA3427"/>
    <w:rsid w:val="00CA39A6"/>
    <w:rsid w:val="00CA5384"/>
    <w:rsid w:val="00CA540A"/>
    <w:rsid w:val="00CA5D37"/>
    <w:rsid w:val="00CA63C7"/>
    <w:rsid w:val="00CA6A08"/>
    <w:rsid w:val="00CA6B09"/>
    <w:rsid w:val="00CA6E56"/>
    <w:rsid w:val="00CA741E"/>
    <w:rsid w:val="00CA74F4"/>
    <w:rsid w:val="00CA791F"/>
    <w:rsid w:val="00CB0AA4"/>
    <w:rsid w:val="00CB11E3"/>
    <w:rsid w:val="00CB13D9"/>
    <w:rsid w:val="00CB1699"/>
    <w:rsid w:val="00CB183F"/>
    <w:rsid w:val="00CB186C"/>
    <w:rsid w:val="00CB2098"/>
    <w:rsid w:val="00CB295F"/>
    <w:rsid w:val="00CB3039"/>
    <w:rsid w:val="00CB30AD"/>
    <w:rsid w:val="00CB3186"/>
    <w:rsid w:val="00CB374A"/>
    <w:rsid w:val="00CB39F5"/>
    <w:rsid w:val="00CB4137"/>
    <w:rsid w:val="00CB52DD"/>
    <w:rsid w:val="00CB5489"/>
    <w:rsid w:val="00CB59C2"/>
    <w:rsid w:val="00CB6606"/>
    <w:rsid w:val="00CB6C95"/>
    <w:rsid w:val="00CB6DDA"/>
    <w:rsid w:val="00CB7000"/>
    <w:rsid w:val="00CB7076"/>
    <w:rsid w:val="00CB76CB"/>
    <w:rsid w:val="00CB77D2"/>
    <w:rsid w:val="00CC02CB"/>
    <w:rsid w:val="00CC07F3"/>
    <w:rsid w:val="00CC09B4"/>
    <w:rsid w:val="00CC10D2"/>
    <w:rsid w:val="00CC13D9"/>
    <w:rsid w:val="00CC13E5"/>
    <w:rsid w:val="00CC17C4"/>
    <w:rsid w:val="00CC1B1E"/>
    <w:rsid w:val="00CC27A1"/>
    <w:rsid w:val="00CC31A8"/>
    <w:rsid w:val="00CC3D25"/>
    <w:rsid w:val="00CC4342"/>
    <w:rsid w:val="00CC4FF1"/>
    <w:rsid w:val="00CC5D8F"/>
    <w:rsid w:val="00CC6E44"/>
    <w:rsid w:val="00CC7B44"/>
    <w:rsid w:val="00CD03E7"/>
    <w:rsid w:val="00CD0EEF"/>
    <w:rsid w:val="00CD0FD1"/>
    <w:rsid w:val="00CD129F"/>
    <w:rsid w:val="00CD19E5"/>
    <w:rsid w:val="00CD21F6"/>
    <w:rsid w:val="00CD21FF"/>
    <w:rsid w:val="00CD2A69"/>
    <w:rsid w:val="00CD2D64"/>
    <w:rsid w:val="00CD3594"/>
    <w:rsid w:val="00CD37C9"/>
    <w:rsid w:val="00CD37F9"/>
    <w:rsid w:val="00CD3E7F"/>
    <w:rsid w:val="00CD465F"/>
    <w:rsid w:val="00CD47E5"/>
    <w:rsid w:val="00CD4CFD"/>
    <w:rsid w:val="00CD6247"/>
    <w:rsid w:val="00CD68AC"/>
    <w:rsid w:val="00CD6AE5"/>
    <w:rsid w:val="00CD6CEF"/>
    <w:rsid w:val="00CD7320"/>
    <w:rsid w:val="00CD754B"/>
    <w:rsid w:val="00CE0084"/>
    <w:rsid w:val="00CE03F8"/>
    <w:rsid w:val="00CE0611"/>
    <w:rsid w:val="00CE06D8"/>
    <w:rsid w:val="00CE1C4B"/>
    <w:rsid w:val="00CE1F3C"/>
    <w:rsid w:val="00CE29FF"/>
    <w:rsid w:val="00CE2BF6"/>
    <w:rsid w:val="00CE3B36"/>
    <w:rsid w:val="00CE4189"/>
    <w:rsid w:val="00CE4B31"/>
    <w:rsid w:val="00CE4E89"/>
    <w:rsid w:val="00CE55B2"/>
    <w:rsid w:val="00CE5AED"/>
    <w:rsid w:val="00CE5FAD"/>
    <w:rsid w:val="00CE6260"/>
    <w:rsid w:val="00CE6847"/>
    <w:rsid w:val="00CE6A06"/>
    <w:rsid w:val="00CE6B0B"/>
    <w:rsid w:val="00CE6CC9"/>
    <w:rsid w:val="00CE7787"/>
    <w:rsid w:val="00CE7851"/>
    <w:rsid w:val="00CE7D75"/>
    <w:rsid w:val="00CF09B8"/>
    <w:rsid w:val="00CF0D7A"/>
    <w:rsid w:val="00CF241F"/>
    <w:rsid w:val="00CF2946"/>
    <w:rsid w:val="00CF3806"/>
    <w:rsid w:val="00CF4956"/>
    <w:rsid w:val="00CF520C"/>
    <w:rsid w:val="00CF530D"/>
    <w:rsid w:val="00CF55BE"/>
    <w:rsid w:val="00CF5A89"/>
    <w:rsid w:val="00CF5B1F"/>
    <w:rsid w:val="00CF5BD5"/>
    <w:rsid w:val="00CF62D9"/>
    <w:rsid w:val="00CF69E1"/>
    <w:rsid w:val="00CF6AA7"/>
    <w:rsid w:val="00CF6C5E"/>
    <w:rsid w:val="00CF6DE5"/>
    <w:rsid w:val="00D01110"/>
    <w:rsid w:val="00D01ABD"/>
    <w:rsid w:val="00D02151"/>
    <w:rsid w:val="00D02182"/>
    <w:rsid w:val="00D0223F"/>
    <w:rsid w:val="00D0236E"/>
    <w:rsid w:val="00D024DE"/>
    <w:rsid w:val="00D0268B"/>
    <w:rsid w:val="00D027FA"/>
    <w:rsid w:val="00D032AB"/>
    <w:rsid w:val="00D03497"/>
    <w:rsid w:val="00D03E4B"/>
    <w:rsid w:val="00D04141"/>
    <w:rsid w:val="00D07449"/>
    <w:rsid w:val="00D074B6"/>
    <w:rsid w:val="00D079A8"/>
    <w:rsid w:val="00D100AF"/>
    <w:rsid w:val="00D100D6"/>
    <w:rsid w:val="00D10AB5"/>
    <w:rsid w:val="00D10DA4"/>
    <w:rsid w:val="00D11262"/>
    <w:rsid w:val="00D11D19"/>
    <w:rsid w:val="00D11D80"/>
    <w:rsid w:val="00D12C7A"/>
    <w:rsid w:val="00D13C3D"/>
    <w:rsid w:val="00D13F01"/>
    <w:rsid w:val="00D150B2"/>
    <w:rsid w:val="00D15732"/>
    <w:rsid w:val="00D16956"/>
    <w:rsid w:val="00D16CA6"/>
    <w:rsid w:val="00D17533"/>
    <w:rsid w:val="00D179CC"/>
    <w:rsid w:val="00D17D0E"/>
    <w:rsid w:val="00D17EC0"/>
    <w:rsid w:val="00D20013"/>
    <w:rsid w:val="00D206B7"/>
    <w:rsid w:val="00D2139A"/>
    <w:rsid w:val="00D21A3B"/>
    <w:rsid w:val="00D21C71"/>
    <w:rsid w:val="00D221AF"/>
    <w:rsid w:val="00D2233C"/>
    <w:rsid w:val="00D22714"/>
    <w:rsid w:val="00D2406B"/>
    <w:rsid w:val="00D24867"/>
    <w:rsid w:val="00D248A1"/>
    <w:rsid w:val="00D24DA0"/>
    <w:rsid w:val="00D256F5"/>
    <w:rsid w:val="00D25786"/>
    <w:rsid w:val="00D25919"/>
    <w:rsid w:val="00D25DEE"/>
    <w:rsid w:val="00D26679"/>
    <w:rsid w:val="00D26BD9"/>
    <w:rsid w:val="00D26FD6"/>
    <w:rsid w:val="00D276E6"/>
    <w:rsid w:val="00D27980"/>
    <w:rsid w:val="00D301D0"/>
    <w:rsid w:val="00D313FB"/>
    <w:rsid w:val="00D31AC3"/>
    <w:rsid w:val="00D31CC3"/>
    <w:rsid w:val="00D31CFC"/>
    <w:rsid w:val="00D31EE6"/>
    <w:rsid w:val="00D32ECB"/>
    <w:rsid w:val="00D335ED"/>
    <w:rsid w:val="00D3367E"/>
    <w:rsid w:val="00D33878"/>
    <w:rsid w:val="00D3390C"/>
    <w:rsid w:val="00D33DE4"/>
    <w:rsid w:val="00D34ACD"/>
    <w:rsid w:val="00D34D5D"/>
    <w:rsid w:val="00D350FF"/>
    <w:rsid w:val="00D355F3"/>
    <w:rsid w:val="00D35DEB"/>
    <w:rsid w:val="00D36290"/>
    <w:rsid w:val="00D362A1"/>
    <w:rsid w:val="00D3665E"/>
    <w:rsid w:val="00D3744F"/>
    <w:rsid w:val="00D37568"/>
    <w:rsid w:val="00D378AF"/>
    <w:rsid w:val="00D37A6D"/>
    <w:rsid w:val="00D37E06"/>
    <w:rsid w:val="00D400CD"/>
    <w:rsid w:val="00D40754"/>
    <w:rsid w:val="00D40EB2"/>
    <w:rsid w:val="00D40FB2"/>
    <w:rsid w:val="00D41197"/>
    <w:rsid w:val="00D412FA"/>
    <w:rsid w:val="00D420AE"/>
    <w:rsid w:val="00D42274"/>
    <w:rsid w:val="00D4234F"/>
    <w:rsid w:val="00D42B88"/>
    <w:rsid w:val="00D4344A"/>
    <w:rsid w:val="00D4393E"/>
    <w:rsid w:val="00D43A2A"/>
    <w:rsid w:val="00D44B1F"/>
    <w:rsid w:val="00D45C6B"/>
    <w:rsid w:val="00D464E7"/>
    <w:rsid w:val="00D46CA9"/>
    <w:rsid w:val="00D472EF"/>
    <w:rsid w:val="00D50CDC"/>
    <w:rsid w:val="00D50D3B"/>
    <w:rsid w:val="00D51325"/>
    <w:rsid w:val="00D51567"/>
    <w:rsid w:val="00D515CA"/>
    <w:rsid w:val="00D518EE"/>
    <w:rsid w:val="00D51C70"/>
    <w:rsid w:val="00D528EA"/>
    <w:rsid w:val="00D52B81"/>
    <w:rsid w:val="00D52E96"/>
    <w:rsid w:val="00D53442"/>
    <w:rsid w:val="00D5349F"/>
    <w:rsid w:val="00D54914"/>
    <w:rsid w:val="00D54C6E"/>
    <w:rsid w:val="00D552AE"/>
    <w:rsid w:val="00D55780"/>
    <w:rsid w:val="00D5598C"/>
    <w:rsid w:val="00D55B3A"/>
    <w:rsid w:val="00D55D34"/>
    <w:rsid w:val="00D56225"/>
    <w:rsid w:val="00D565D0"/>
    <w:rsid w:val="00D56612"/>
    <w:rsid w:val="00D5695A"/>
    <w:rsid w:val="00D57AFB"/>
    <w:rsid w:val="00D57EBE"/>
    <w:rsid w:val="00D601BC"/>
    <w:rsid w:val="00D604FB"/>
    <w:rsid w:val="00D612D5"/>
    <w:rsid w:val="00D614F6"/>
    <w:rsid w:val="00D61802"/>
    <w:rsid w:val="00D620BE"/>
    <w:rsid w:val="00D62189"/>
    <w:rsid w:val="00D622CB"/>
    <w:rsid w:val="00D62916"/>
    <w:rsid w:val="00D62A10"/>
    <w:rsid w:val="00D62E3B"/>
    <w:rsid w:val="00D63286"/>
    <w:rsid w:val="00D636D5"/>
    <w:rsid w:val="00D64179"/>
    <w:rsid w:val="00D643CA"/>
    <w:rsid w:val="00D64A12"/>
    <w:rsid w:val="00D64A15"/>
    <w:rsid w:val="00D64F84"/>
    <w:rsid w:val="00D655B0"/>
    <w:rsid w:val="00D65F00"/>
    <w:rsid w:val="00D66123"/>
    <w:rsid w:val="00D66616"/>
    <w:rsid w:val="00D6661C"/>
    <w:rsid w:val="00D66F7E"/>
    <w:rsid w:val="00D67DE3"/>
    <w:rsid w:val="00D70B8B"/>
    <w:rsid w:val="00D71299"/>
    <w:rsid w:val="00D725C4"/>
    <w:rsid w:val="00D726C1"/>
    <w:rsid w:val="00D7364C"/>
    <w:rsid w:val="00D746E8"/>
    <w:rsid w:val="00D74720"/>
    <w:rsid w:val="00D74FC9"/>
    <w:rsid w:val="00D75223"/>
    <w:rsid w:val="00D754F6"/>
    <w:rsid w:val="00D7570A"/>
    <w:rsid w:val="00D76852"/>
    <w:rsid w:val="00D76963"/>
    <w:rsid w:val="00D76D97"/>
    <w:rsid w:val="00D7710E"/>
    <w:rsid w:val="00D77AC9"/>
    <w:rsid w:val="00D77CB0"/>
    <w:rsid w:val="00D8093A"/>
    <w:rsid w:val="00D8111C"/>
    <w:rsid w:val="00D81422"/>
    <w:rsid w:val="00D81EEF"/>
    <w:rsid w:val="00D82123"/>
    <w:rsid w:val="00D82248"/>
    <w:rsid w:val="00D8321C"/>
    <w:rsid w:val="00D838BD"/>
    <w:rsid w:val="00D846BA"/>
    <w:rsid w:val="00D84717"/>
    <w:rsid w:val="00D8489D"/>
    <w:rsid w:val="00D84A6E"/>
    <w:rsid w:val="00D87FDA"/>
    <w:rsid w:val="00D90138"/>
    <w:rsid w:val="00D90579"/>
    <w:rsid w:val="00D906E1"/>
    <w:rsid w:val="00D908BD"/>
    <w:rsid w:val="00D91674"/>
    <w:rsid w:val="00D91793"/>
    <w:rsid w:val="00D918C1"/>
    <w:rsid w:val="00D919F3"/>
    <w:rsid w:val="00D91B8F"/>
    <w:rsid w:val="00D91C16"/>
    <w:rsid w:val="00D91F15"/>
    <w:rsid w:val="00D92000"/>
    <w:rsid w:val="00D9207F"/>
    <w:rsid w:val="00D9254D"/>
    <w:rsid w:val="00D92939"/>
    <w:rsid w:val="00D93C7F"/>
    <w:rsid w:val="00D941E6"/>
    <w:rsid w:val="00D94436"/>
    <w:rsid w:val="00D94529"/>
    <w:rsid w:val="00D956A2"/>
    <w:rsid w:val="00D96064"/>
    <w:rsid w:val="00D961AA"/>
    <w:rsid w:val="00D961BB"/>
    <w:rsid w:val="00D96D76"/>
    <w:rsid w:val="00D97BC7"/>
    <w:rsid w:val="00D97C0E"/>
    <w:rsid w:val="00DA020F"/>
    <w:rsid w:val="00DA089F"/>
    <w:rsid w:val="00DA0AB7"/>
    <w:rsid w:val="00DA1465"/>
    <w:rsid w:val="00DA1D53"/>
    <w:rsid w:val="00DA215D"/>
    <w:rsid w:val="00DA3D5F"/>
    <w:rsid w:val="00DA3E42"/>
    <w:rsid w:val="00DA40A6"/>
    <w:rsid w:val="00DA446E"/>
    <w:rsid w:val="00DA5468"/>
    <w:rsid w:val="00DA5B77"/>
    <w:rsid w:val="00DA61DB"/>
    <w:rsid w:val="00DA6307"/>
    <w:rsid w:val="00DA6969"/>
    <w:rsid w:val="00DA7B16"/>
    <w:rsid w:val="00DB0A5C"/>
    <w:rsid w:val="00DB103A"/>
    <w:rsid w:val="00DB1B3E"/>
    <w:rsid w:val="00DB281A"/>
    <w:rsid w:val="00DB326F"/>
    <w:rsid w:val="00DB38D3"/>
    <w:rsid w:val="00DB44D5"/>
    <w:rsid w:val="00DB61C7"/>
    <w:rsid w:val="00DB6342"/>
    <w:rsid w:val="00DB6376"/>
    <w:rsid w:val="00DB6AB0"/>
    <w:rsid w:val="00DB6F64"/>
    <w:rsid w:val="00DB72C9"/>
    <w:rsid w:val="00DC018A"/>
    <w:rsid w:val="00DC0536"/>
    <w:rsid w:val="00DC0F32"/>
    <w:rsid w:val="00DC104E"/>
    <w:rsid w:val="00DC1D46"/>
    <w:rsid w:val="00DC2EB2"/>
    <w:rsid w:val="00DC2F71"/>
    <w:rsid w:val="00DC3000"/>
    <w:rsid w:val="00DC34FC"/>
    <w:rsid w:val="00DC36AF"/>
    <w:rsid w:val="00DC3C66"/>
    <w:rsid w:val="00DC45B7"/>
    <w:rsid w:val="00DC5083"/>
    <w:rsid w:val="00DC5156"/>
    <w:rsid w:val="00DC5270"/>
    <w:rsid w:val="00DC55CA"/>
    <w:rsid w:val="00DC5613"/>
    <w:rsid w:val="00DC5710"/>
    <w:rsid w:val="00DC60A3"/>
    <w:rsid w:val="00DC6753"/>
    <w:rsid w:val="00DC794A"/>
    <w:rsid w:val="00DD0340"/>
    <w:rsid w:val="00DD0944"/>
    <w:rsid w:val="00DD0BE2"/>
    <w:rsid w:val="00DD12DA"/>
    <w:rsid w:val="00DD20E9"/>
    <w:rsid w:val="00DD22F7"/>
    <w:rsid w:val="00DD2D0E"/>
    <w:rsid w:val="00DD3065"/>
    <w:rsid w:val="00DD35AE"/>
    <w:rsid w:val="00DD368D"/>
    <w:rsid w:val="00DD3A44"/>
    <w:rsid w:val="00DD3D70"/>
    <w:rsid w:val="00DD4797"/>
    <w:rsid w:val="00DD4A2A"/>
    <w:rsid w:val="00DD51FC"/>
    <w:rsid w:val="00DD548B"/>
    <w:rsid w:val="00DD54EA"/>
    <w:rsid w:val="00DD54FA"/>
    <w:rsid w:val="00DD5D43"/>
    <w:rsid w:val="00DD6138"/>
    <w:rsid w:val="00DD6A6B"/>
    <w:rsid w:val="00DD7294"/>
    <w:rsid w:val="00DD766B"/>
    <w:rsid w:val="00DD7FBF"/>
    <w:rsid w:val="00DE0D33"/>
    <w:rsid w:val="00DE0E2D"/>
    <w:rsid w:val="00DE108F"/>
    <w:rsid w:val="00DE116F"/>
    <w:rsid w:val="00DE189A"/>
    <w:rsid w:val="00DE1B2D"/>
    <w:rsid w:val="00DE1C85"/>
    <w:rsid w:val="00DE250A"/>
    <w:rsid w:val="00DE2CC6"/>
    <w:rsid w:val="00DE433E"/>
    <w:rsid w:val="00DE478C"/>
    <w:rsid w:val="00DE4C04"/>
    <w:rsid w:val="00DE4D64"/>
    <w:rsid w:val="00DE61B6"/>
    <w:rsid w:val="00DE6D86"/>
    <w:rsid w:val="00DE7477"/>
    <w:rsid w:val="00DE7E3D"/>
    <w:rsid w:val="00DF00CF"/>
    <w:rsid w:val="00DF0231"/>
    <w:rsid w:val="00DF04B6"/>
    <w:rsid w:val="00DF2333"/>
    <w:rsid w:val="00DF23BB"/>
    <w:rsid w:val="00DF26AA"/>
    <w:rsid w:val="00DF2883"/>
    <w:rsid w:val="00DF3F70"/>
    <w:rsid w:val="00DF41FC"/>
    <w:rsid w:val="00DF44A1"/>
    <w:rsid w:val="00DF4E8C"/>
    <w:rsid w:val="00DF5457"/>
    <w:rsid w:val="00DF54D2"/>
    <w:rsid w:val="00DF56FD"/>
    <w:rsid w:val="00DF5BC9"/>
    <w:rsid w:val="00DF640A"/>
    <w:rsid w:val="00DF7130"/>
    <w:rsid w:val="00DF757D"/>
    <w:rsid w:val="00DF763F"/>
    <w:rsid w:val="00DF76E7"/>
    <w:rsid w:val="00E0087D"/>
    <w:rsid w:val="00E00A58"/>
    <w:rsid w:val="00E00AE7"/>
    <w:rsid w:val="00E00FD6"/>
    <w:rsid w:val="00E01A00"/>
    <w:rsid w:val="00E01D30"/>
    <w:rsid w:val="00E01E60"/>
    <w:rsid w:val="00E02399"/>
    <w:rsid w:val="00E02B75"/>
    <w:rsid w:val="00E0362A"/>
    <w:rsid w:val="00E04287"/>
    <w:rsid w:val="00E058F0"/>
    <w:rsid w:val="00E05923"/>
    <w:rsid w:val="00E05B2E"/>
    <w:rsid w:val="00E05BE9"/>
    <w:rsid w:val="00E05E2A"/>
    <w:rsid w:val="00E06AB3"/>
    <w:rsid w:val="00E06DE8"/>
    <w:rsid w:val="00E06E0C"/>
    <w:rsid w:val="00E07A8A"/>
    <w:rsid w:val="00E07AAD"/>
    <w:rsid w:val="00E100BA"/>
    <w:rsid w:val="00E10208"/>
    <w:rsid w:val="00E10541"/>
    <w:rsid w:val="00E108BF"/>
    <w:rsid w:val="00E11163"/>
    <w:rsid w:val="00E11713"/>
    <w:rsid w:val="00E1176E"/>
    <w:rsid w:val="00E11F38"/>
    <w:rsid w:val="00E12385"/>
    <w:rsid w:val="00E13106"/>
    <w:rsid w:val="00E13B6B"/>
    <w:rsid w:val="00E13DAA"/>
    <w:rsid w:val="00E142E3"/>
    <w:rsid w:val="00E14664"/>
    <w:rsid w:val="00E147A0"/>
    <w:rsid w:val="00E14C17"/>
    <w:rsid w:val="00E15089"/>
    <w:rsid w:val="00E156F1"/>
    <w:rsid w:val="00E15A41"/>
    <w:rsid w:val="00E15BA4"/>
    <w:rsid w:val="00E160A0"/>
    <w:rsid w:val="00E16122"/>
    <w:rsid w:val="00E1652F"/>
    <w:rsid w:val="00E1665B"/>
    <w:rsid w:val="00E16700"/>
    <w:rsid w:val="00E20BAD"/>
    <w:rsid w:val="00E22029"/>
    <w:rsid w:val="00E22AF5"/>
    <w:rsid w:val="00E2335E"/>
    <w:rsid w:val="00E23856"/>
    <w:rsid w:val="00E2552E"/>
    <w:rsid w:val="00E259D9"/>
    <w:rsid w:val="00E25B63"/>
    <w:rsid w:val="00E261B3"/>
    <w:rsid w:val="00E26508"/>
    <w:rsid w:val="00E2661C"/>
    <w:rsid w:val="00E269A9"/>
    <w:rsid w:val="00E2700F"/>
    <w:rsid w:val="00E277BE"/>
    <w:rsid w:val="00E27CAC"/>
    <w:rsid w:val="00E27EC2"/>
    <w:rsid w:val="00E302ED"/>
    <w:rsid w:val="00E303EB"/>
    <w:rsid w:val="00E3069C"/>
    <w:rsid w:val="00E3122C"/>
    <w:rsid w:val="00E3183B"/>
    <w:rsid w:val="00E3205F"/>
    <w:rsid w:val="00E3270D"/>
    <w:rsid w:val="00E337E4"/>
    <w:rsid w:val="00E33A47"/>
    <w:rsid w:val="00E33B54"/>
    <w:rsid w:val="00E34D5D"/>
    <w:rsid w:val="00E355C8"/>
    <w:rsid w:val="00E358A0"/>
    <w:rsid w:val="00E36DFF"/>
    <w:rsid w:val="00E3717F"/>
    <w:rsid w:val="00E40170"/>
    <w:rsid w:val="00E404A6"/>
    <w:rsid w:val="00E4091D"/>
    <w:rsid w:val="00E40A67"/>
    <w:rsid w:val="00E416A0"/>
    <w:rsid w:val="00E41EF9"/>
    <w:rsid w:val="00E42CE1"/>
    <w:rsid w:val="00E43194"/>
    <w:rsid w:val="00E4324B"/>
    <w:rsid w:val="00E433A6"/>
    <w:rsid w:val="00E441EA"/>
    <w:rsid w:val="00E45685"/>
    <w:rsid w:val="00E46A51"/>
    <w:rsid w:val="00E4719A"/>
    <w:rsid w:val="00E47567"/>
    <w:rsid w:val="00E50BF6"/>
    <w:rsid w:val="00E512C0"/>
    <w:rsid w:val="00E512E2"/>
    <w:rsid w:val="00E5236D"/>
    <w:rsid w:val="00E52AA1"/>
    <w:rsid w:val="00E53410"/>
    <w:rsid w:val="00E53420"/>
    <w:rsid w:val="00E5366B"/>
    <w:rsid w:val="00E540A0"/>
    <w:rsid w:val="00E54276"/>
    <w:rsid w:val="00E54B22"/>
    <w:rsid w:val="00E54D3F"/>
    <w:rsid w:val="00E54FB3"/>
    <w:rsid w:val="00E559F5"/>
    <w:rsid w:val="00E55AD3"/>
    <w:rsid w:val="00E55D4A"/>
    <w:rsid w:val="00E5709A"/>
    <w:rsid w:val="00E570E1"/>
    <w:rsid w:val="00E5738B"/>
    <w:rsid w:val="00E57B92"/>
    <w:rsid w:val="00E601C8"/>
    <w:rsid w:val="00E603CA"/>
    <w:rsid w:val="00E60656"/>
    <w:rsid w:val="00E609CA"/>
    <w:rsid w:val="00E60F33"/>
    <w:rsid w:val="00E6139A"/>
    <w:rsid w:val="00E61493"/>
    <w:rsid w:val="00E6197A"/>
    <w:rsid w:val="00E63927"/>
    <w:rsid w:val="00E64715"/>
    <w:rsid w:val="00E648B9"/>
    <w:rsid w:val="00E6529B"/>
    <w:rsid w:val="00E65339"/>
    <w:rsid w:val="00E65979"/>
    <w:rsid w:val="00E659C4"/>
    <w:rsid w:val="00E65A44"/>
    <w:rsid w:val="00E65AB6"/>
    <w:rsid w:val="00E65D91"/>
    <w:rsid w:val="00E66881"/>
    <w:rsid w:val="00E66C43"/>
    <w:rsid w:val="00E677C3"/>
    <w:rsid w:val="00E70313"/>
    <w:rsid w:val="00E7086F"/>
    <w:rsid w:val="00E709C1"/>
    <w:rsid w:val="00E70BC0"/>
    <w:rsid w:val="00E70C91"/>
    <w:rsid w:val="00E70E15"/>
    <w:rsid w:val="00E7131F"/>
    <w:rsid w:val="00E71713"/>
    <w:rsid w:val="00E71728"/>
    <w:rsid w:val="00E718A9"/>
    <w:rsid w:val="00E71D85"/>
    <w:rsid w:val="00E720CF"/>
    <w:rsid w:val="00E725D7"/>
    <w:rsid w:val="00E72981"/>
    <w:rsid w:val="00E72C0E"/>
    <w:rsid w:val="00E73BBE"/>
    <w:rsid w:val="00E73DC3"/>
    <w:rsid w:val="00E73FA3"/>
    <w:rsid w:val="00E741AC"/>
    <w:rsid w:val="00E7429A"/>
    <w:rsid w:val="00E756BE"/>
    <w:rsid w:val="00E76C2C"/>
    <w:rsid w:val="00E76FE8"/>
    <w:rsid w:val="00E776E9"/>
    <w:rsid w:val="00E77B4F"/>
    <w:rsid w:val="00E804B8"/>
    <w:rsid w:val="00E8062B"/>
    <w:rsid w:val="00E813F0"/>
    <w:rsid w:val="00E8195E"/>
    <w:rsid w:val="00E819A0"/>
    <w:rsid w:val="00E81D27"/>
    <w:rsid w:val="00E82920"/>
    <w:rsid w:val="00E82966"/>
    <w:rsid w:val="00E82D2C"/>
    <w:rsid w:val="00E83341"/>
    <w:rsid w:val="00E83B37"/>
    <w:rsid w:val="00E8411D"/>
    <w:rsid w:val="00E85655"/>
    <w:rsid w:val="00E85690"/>
    <w:rsid w:val="00E85D6F"/>
    <w:rsid w:val="00E85F3D"/>
    <w:rsid w:val="00E866C9"/>
    <w:rsid w:val="00E8727E"/>
    <w:rsid w:val="00E877A7"/>
    <w:rsid w:val="00E878E5"/>
    <w:rsid w:val="00E87AA3"/>
    <w:rsid w:val="00E87B01"/>
    <w:rsid w:val="00E87D27"/>
    <w:rsid w:val="00E87E3E"/>
    <w:rsid w:val="00E904B9"/>
    <w:rsid w:val="00E908FA"/>
    <w:rsid w:val="00E909C7"/>
    <w:rsid w:val="00E90F06"/>
    <w:rsid w:val="00E91C7A"/>
    <w:rsid w:val="00E9291B"/>
    <w:rsid w:val="00E92C51"/>
    <w:rsid w:val="00E9344E"/>
    <w:rsid w:val="00E936BB"/>
    <w:rsid w:val="00E93A37"/>
    <w:rsid w:val="00E94C99"/>
    <w:rsid w:val="00E95C47"/>
    <w:rsid w:val="00E95C96"/>
    <w:rsid w:val="00E95E60"/>
    <w:rsid w:val="00E96884"/>
    <w:rsid w:val="00E96C9D"/>
    <w:rsid w:val="00E96F88"/>
    <w:rsid w:val="00E9730F"/>
    <w:rsid w:val="00E976EF"/>
    <w:rsid w:val="00E97EB8"/>
    <w:rsid w:val="00E97FC5"/>
    <w:rsid w:val="00E97FE3"/>
    <w:rsid w:val="00EA0CAD"/>
    <w:rsid w:val="00EA1757"/>
    <w:rsid w:val="00EA19EC"/>
    <w:rsid w:val="00EA1A9E"/>
    <w:rsid w:val="00EA2936"/>
    <w:rsid w:val="00EA3F6E"/>
    <w:rsid w:val="00EA4425"/>
    <w:rsid w:val="00EA4AF6"/>
    <w:rsid w:val="00EA4CA5"/>
    <w:rsid w:val="00EA4E29"/>
    <w:rsid w:val="00EA5058"/>
    <w:rsid w:val="00EA50EB"/>
    <w:rsid w:val="00EA59BB"/>
    <w:rsid w:val="00EA5E3C"/>
    <w:rsid w:val="00EA5F4B"/>
    <w:rsid w:val="00EA693A"/>
    <w:rsid w:val="00EA7399"/>
    <w:rsid w:val="00EA7696"/>
    <w:rsid w:val="00EB057A"/>
    <w:rsid w:val="00EB0C1E"/>
    <w:rsid w:val="00EB13E9"/>
    <w:rsid w:val="00EB2805"/>
    <w:rsid w:val="00EB28AF"/>
    <w:rsid w:val="00EB2AC4"/>
    <w:rsid w:val="00EB2BA9"/>
    <w:rsid w:val="00EB2C58"/>
    <w:rsid w:val="00EB3187"/>
    <w:rsid w:val="00EB31E1"/>
    <w:rsid w:val="00EB322F"/>
    <w:rsid w:val="00EB3D34"/>
    <w:rsid w:val="00EB3D79"/>
    <w:rsid w:val="00EB405E"/>
    <w:rsid w:val="00EB4409"/>
    <w:rsid w:val="00EB52D6"/>
    <w:rsid w:val="00EB5ECA"/>
    <w:rsid w:val="00EB6955"/>
    <w:rsid w:val="00EB7CB1"/>
    <w:rsid w:val="00EC002F"/>
    <w:rsid w:val="00EC00BC"/>
    <w:rsid w:val="00EC0323"/>
    <w:rsid w:val="00EC0507"/>
    <w:rsid w:val="00EC052E"/>
    <w:rsid w:val="00EC0DFD"/>
    <w:rsid w:val="00EC1393"/>
    <w:rsid w:val="00EC2083"/>
    <w:rsid w:val="00EC2735"/>
    <w:rsid w:val="00EC3EE5"/>
    <w:rsid w:val="00EC41E9"/>
    <w:rsid w:val="00EC46CC"/>
    <w:rsid w:val="00EC49D0"/>
    <w:rsid w:val="00EC5933"/>
    <w:rsid w:val="00EC6ED3"/>
    <w:rsid w:val="00ED036A"/>
    <w:rsid w:val="00ED0B3E"/>
    <w:rsid w:val="00ED0FB6"/>
    <w:rsid w:val="00ED2168"/>
    <w:rsid w:val="00ED22D0"/>
    <w:rsid w:val="00ED2DF8"/>
    <w:rsid w:val="00ED3547"/>
    <w:rsid w:val="00ED4165"/>
    <w:rsid w:val="00ED48A8"/>
    <w:rsid w:val="00ED4B24"/>
    <w:rsid w:val="00ED4F30"/>
    <w:rsid w:val="00ED5202"/>
    <w:rsid w:val="00ED53E9"/>
    <w:rsid w:val="00ED6321"/>
    <w:rsid w:val="00ED6A83"/>
    <w:rsid w:val="00ED72B9"/>
    <w:rsid w:val="00ED7C3B"/>
    <w:rsid w:val="00EE0400"/>
    <w:rsid w:val="00EE1A6F"/>
    <w:rsid w:val="00EE1B58"/>
    <w:rsid w:val="00EE244D"/>
    <w:rsid w:val="00EE24B2"/>
    <w:rsid w:val="00EE2714"/>
    <w:rsid w:val="00EE275B"/>
    <w:rsid w:val="00EE2AF7"/>
    <w:rsid w:val="00EE3487"/>
    <w:rsid w:val="00EE3544"/>
    <w:rsid w:val="00EE42EE"/>
    <w:rsid w:val="00EE45DD"/>
    <w:rsid w:val="00EE46D0"/>
    <w:rsid w:val="00EE48B5"/>
    <w:rsid w:val="00EE6744"/>
    <w:rsid w:val="00EE73E1"/>
    <w:rsid w:val="00EE771C"/>
    <w:rsid w:val="00EF0158"/>
    <w:rsid w:val="00EF089D"/>
    <w:rsid w:val="00EF143C"/>
    <w:rsid w:val="00EF20CA"/>
    <w:rsid w:val="00EF3DE7"/>
    <w:rsid w:val="00EF3F87"/>
    <w:rsid w:val="00EF407E"/>
    <w:rsid w:val="00EF41D4"/>
    <w:rsid w:val="00EF4320"/>
    <w:rsid w:val="00EF4669"/>
    <w:rsid w:val="00EF4A58"/>
    <w:rsid w:val="00EF566D"/>
    <w:rsid w:val="00EF599F"/>
    <w:rsid w:val="00EF635D"/>
    <w:rsid w:val="00EF7925"/>
    <w:rsid w:val="00F01CC0"/>
    <w:rsid w:val="00F02487"/>
    <w:rsid w:val="00F02C70"/>
    <w:rsid w:val="00F02D3F"/>
    <w:rsid w:val="00F02D7C"/>
    <w:rsid w:val="00F02ECA"/>
    <w:rsid w:val="00F039CC"/>
    <w:rsid w:val="00F040CC"/>
    <w:rsid w:val="00F0415A"/>
    <w:rsid w:val="00F04216"/>
    <w:rsid w:val="00F046C0"/>
    <w:rsid w:val="00F04709"/>
    <w:rsid w:val="00F0478D"/>
    <w:rsid w:val="00F04847"/>
    <w:rsid w:val="00F04B81"/>
    <w:rsid w:val="00F04F05"/>
    <w:rsid w:val="00F04FDF"/>
    <w:rsid w:val="00F05239"/>
    <w:rsid w:val="00F05250"/>
    <w:rsid w:val="00F05E9A"/>
    <w:rsid w:val="00F05F36"/>
    <w:rsid w:val="00F05F61"/>
    <w:rsid w:val="00F06932"/>
    <w:rsid w:val="00F06FB9"/>
    <w:rsid w:val="00F07934"/>
    <w:rsid w:val="00F07A46"/>
    <w:rsid w:val="00F07FEB"/>
    <w:rsid w:val="00F103C5"/>
    <w:rsid w:val="00F109E8"/>
    <w:rsid w:val="00F119E1"/>
    <w:rsid w:val="00F11F4C"/>
    <w:rsid w:val="00F12115"/>
    <w:rsid w:val="00F1249D"/>
    <w:rsid w:val="00F12785"/>
    <w:rsid w:val="00F12F55"/>
    <w:rsid w:val="00F1317D"/>
    <w:rsid w:val="00F13FED"/>
    <w:rsid w:val="00F14FD2"/>
    <w:rsid w:val="00F151D3"/>
    <w:rsid w:val="00F15527"/>
    <w:rsid w:val="00F157DA"/>
    <w:rsid w:val="00F16218"/>
    <w:rsid w:val="00F165F1"/>
    <w:rsid w:val="00F16F52"/>
    <w:rsid w:val="00F2037C"/>
    <w:rsid w:val="00F20CF1"/>
    <w:rsid w:val="00F213F2"/>
    <w:rsid w:val="00F22D27"/>
    <w:rsid w:val="00F23F3A"/>
    <w:rsid w:val="00F242F6"/>
    <w:rsid w:val="00F249E1"/>
    <w:rsid w:val="00F266B9"/>
    <w:rsid w:val="00F26769"/>
    <w:rsid w:val="00F26A03"/>
    <w:rsid w:val="00F26CE3"/>
    <w:rsid w:val="00F26F2F"/>
    <w:rsid w:val="00F2700B"/>
    <w:rsid w:val="00F270CF"/>
    <w:rsid w:val="00F275F6"/>
    <w:rsid w:val="00F3092B"/>
    <w:rsid w:val="00F30BA6"/>
    <w:rsid w:val="00F30F01"/>
    <w:rsid w:val="00F318AD"/>
    <w:rsid w:val="00F31DAA"/>
    <w:rsid w:val="00F31EC4"/>
    <w:rsid w:val="00F31EDD"/>
    <w:rsid w:val="00F32736"/>
    <w:rsid w:val="00F337BF"/>
    <w:rsid w:val="00F344E6"/>
    <w:rsid w:val="00F34F7E"/>
    <w:rsid w:val="00F357A9"/>
    <w:rsid w:val="00F36211"/>
    <w:rsid w:val="00F365A1"/>
    <w:rsid w:val="00F371A4"/>
    <w:rsid w:val="00F37C5D"/>
    <w:rsid w:val="00F4013C"/>
    <w:rsid w:val="00F40A07"/>
    <w:rsid w:val="00F40A7C"/>
    <w:rsid w:val="00F4120F"/>
    <w:rsid w:val="00F41DA3"/>
    <w:rsid w:val="00F41FDE"/>
    <w:rsid w:val="00F428EC"/>
    <w:rsid w:val="00F42D42"/>
    <w:rsid w:val="00F42EB4"/>
    <w:rsid w:val="00F432DB"/>
    <w:rsid w:val="00F43449"/>
    <w:rsid w:val="00F43A6D"/>
    <w:rsid w:val="00F43FED"/>
    <w:rsid w:val="00F441CA"/>
    <w:rsid w:val="00F443F3"/>
    <w:rsid w:val="00F456B2"/>
    <w:rsid w:val="00F4788B"/>
    <w:rsid w:val="00F4793C"/>
    <w:rsid w:val="00F47AAD"/>
    <w:rsid w:val="00F50CF3"/>
    <w:rsid w:val="00F50F31"/>
    <w:rsid w:val="00F51123"/>
    <w:rsid w:val="00F5118F"/>
    <w:rsid w:val="00F5134C"/>
    <w:rsid w:val="00F52C22"/>
    <w:rsid w:val="00F534B9"/>
    <w:rsid w:val="00F53536"/>
    <w:rsid w:val="00F536F6"/>
    <w:rsid w:val="00F54D4A"/>
    <w:rsid w:val="00F54EA8"/>
    <w:rsid w:val="00F55A60"/>
    <w:rsid w:val="00F55E90"/>
    <w:rsid w:val="00F56481"/>
    <w:rsid w:val="00F564B1"/>
    <w:rsid w:val="00F564D1"/>
    <w:rsid w:val="00F5672C"/>
    <w:rsid w:val="00F5675A"/>
    <w:rsid w:val="00F56832"/>
    <w:rsid w:val="00F57302"/>
    <w:rsid w:val="00F57841"/>
    <w:rsid w:val="00F6021C"/>
    <w:rsid w:val="00F60A2C"/>
    <w:rsid w:val="00F61558"/>
    <w:rsid w:val="00F6157F"/>
    <w:rsid w:val="00F61A5F"/>
    <w:rsid w:val="00F62296"/>
    <w:rsid w:val="00F62508"/>
    <w:rsid w:val="00F630FC"/>
    <w:rsid w:val="00F63219"/>
    <w:rsid w:val="00F6334F"/>
    <w:rsid w:val="00F63573"/>
    <w:rsid w:val="00F63B39"/>
    <w:rsid w:val="00F64799"/>
    <w:rsid w:val="00F6488B"/>
    <w:rsid w:val="00F64909"/>
    <w:rsid w:val="00F650C4"/>
    <w:rsid w:val="00F65161"/>
    <w:rsid w:val="00F65239"/>
    <w:rsid w:val="00F652E6"/>
    <w:rsid w:val="00F6579A"/>
    <w:rsid w:val="00F65A16"/>
    <w:rsid w:val="00F65FF2"/>
    <w:rsid w:val="00F66617"/>
    <w:rsid w:val="00F66701"/>
    <w:rsid w:val="00F7005D"/>
    <w:rsid w:val="00F708BD"/>
    <w:rsid w:val="00F70E6A"/>
    <w:rsid w:val="00F710BC"/>
    <w:rsid w:val="00F711E8"/>
    <w:rsid w:val="00F71211"/>
    <w:rsid w:val="00F720C8"/>
    <w:rsid w:val="00F7368E"/>
    <w:rsid w:val="00F73AC8"/>
    <w:rsid w:val="00F73C7F"/>
    <w:rsid w:val="00F73E7B"/>
    <w:rsid w:val="00F74839"/>
    <w:rsid w:val="00F74CED"/>
    <w:rsid w:val="00F754E7"/>
    <w:rsid w:val="00F75793"/>
    <w:rsid w:val="00F757C8"/>
    <w:rsid w:val="00F7587B"/>
    <w:rsid w:val="00F75D67"/>
    <w:rsid w:val="00F7636A"/>
    <w:rsid w:val="00F7646E"/>
    <w:rsid w:val="00F76FBB"/>
    <w:rsid w:val="00F77247"/>
    <w:rsid w:val="00F7775A"/>
    <w:rsid w:val="00F77769"/>
    <w:rsid w:val="00F77818"/>
    <w:rsid w:val="00F808D3"/>
    <w:rsid w:val="00F80A00"/>
    <w:rsid w:val="00F80F1E"/>
    <w:rsid w:val="00F81B0B"/>
    <w:rsid w:val="00F81B16"/>
    <w:rsid w:val="00F83127"/>
    <w:rsid w:val="00F8378A"/>
    <w:rsid w:val="00F83B92"/>
    <w:rsid w:val="00F84E17"/>
    <w:rsid w:val="00F84F7D"/>
    <w:rsid w:val="00F8535D"/>
    <w:rsid w:val="00F85925"/>
    <w:rsid w:val="00F860EA"/>
    <w:rsid w:val="00F8670A"/>
    <w:rsid w:val="00F86F5D"/>
    <w:rsid w:val="00F878B6"/>
    <w:rsid w:val="00F905E1"/>
    <w:rsid w:val="00F90A15"/>
    <w:rsid w:val="00F90DF0"/>
    <w:rsid w:val="00F917D0"/>
    <w:rsid w:val="00F91D6D"/>
    <w:rsid w:val="00F92385"/>
    <w:rsid w:val="00F926E5"/>
    <w:rsid w:val="00F937C3"/>
    <w:rsid w:val="00F940B3"/>
    <w:rsid w:val="00F940EC"/>
    <w:rsid w:val="00F94A1F"/>
    <w:rsid w:val="00F95233"/>
    <w:rsid w:val="00F96539"/>
    <w:rsid w:val="00F969ED"/>
    <w:rsid w:val="00F970AD"/>
    <w:rsid w:val="00F97760"/>
    <w:rsid w:val="00FA0519"/>
    <w:rsid w:val="00FA08AF"/>
    <w:rsid w:val="00FA1307"/>
    <w:rsid w:val="00FA1D57"/>
    <w:rsid w:val="00FA1EC0"/>
    <w:rsid w:val="00FA2515"/>
    <w:rsid w:val="00FA2A18"/>
    <w:rsid w:val="00FA2CD3"/>
    <w:rsid w:val="00FA340E"/>
    <w:rsid w:val="00FA37C8"/>
    <w:rsid w:val="00FA3835"/>
    <w:rsid w:val="00FA38AB"/>
    <w:rsid w:val="00FA3DA0"/>
    <w:rsid w:val="00FA4C6C"/>
    <w:rsid w:val="00FA4DBE"/>
    <w:rsid w:val="00FA51A7"/>
    <w:rsid w:val="00FA59DE"/>
    <w:rsid w:val="00FA5CB8"/>
    <w:rsid w:val="00FA60CA"/>
    <w:rsid w:val="00FA6587"/>
    <w:rsid w:val="00FA7294"/>
    <w:rsid w:val="00FA7EA1"/>
    <w:rsid w:val="00FB0C62"/>
    <w:rsid w:val="00FB0EF8"/>
    <w:rsid w:val="00FB1A44"/>
    <w:rsid w:val="00FB1F7A"/>
    <w:rsid w:val="00FB23FF"/>
    <w:rsid w:val="00FB26DE"/>
    <w:rsid w:val="00FB33BE"/>
    <w:rsid w:val="00FB353F"/>
    <w:rsid w:val="00FB368F"/>
    <w:rsid w:val="00FB45FE"/>
    <w:rsid w:val="00FB4868"/>
    <w:rsid w:val="00FB4FF4"/>
    <w:rsid w:val="00FB58D9"/>
    <w:rsid w:val="00FB6D25"/>
    <w:rsid w:val="00FB6DA9"/>
    <w:rsid w:val="00FB7066"/>
    <w:rsid w:val="00FB7185"/>
    <w:rsid w:val="00FB7C32"/>
    <w:rsid w:val="00FB7EE5"/>
    <w:rsid w:val="00FC01F8"/>
    <w:rsid w:val="00FC0D4E"/>
    <w:rsid w:val="00FC12A9"/>
    <w:rsid w:val="00FC239C"/>
    <w:rsid w:val="00FC246D"/>
    <w:rsid w:val="00FC2881"/>
    <w:rsid w:val="00FC2CBB"/>
    <w:rsid w:val="00FC36E2"/>
    <w:rsid w:val="00FC3979"/>
    <w:rsid w:val="00FC3E54"/>
    <w:rsid w:val="00FC454A"/>
    <w:rsid w:val="00FC508B"/>
    <w:rsid w:val="00FC572E"/>
    <w:rsid w:val="00FC5D87"/>
    <w:rsid w:val="00FC6EAA"/>
    <w:rsid w:val="00FC71AF"/>
    <w:rsid w:val="00FC7447"/>
    <w:rsid w:val="00FC7817"/>
    <w:rsid w:val="00FD1150"/>
    <w:rsid w:val="00FD15C6"/>
    <w:rsid w:val="00FD1C52"/>
    <w:rsid w:val="00FD21D1"/>
    <w:rsid w:val="00FD2C5C"/>
    <w:rsid w:val="00FD2E68"/>
    <w:rsid w:val="00FD3FB5"/>
    <w:rsid w:val="00FD4A4B"/>
    <w:rsid w:val="00FD5BF3"/>
    <w:rsid w:val="00FD603B"/>
    <w:rsid w:val="00FD6531"/>
    <w:rsid w:val="00FD68CB"/>
    <w:rsid w:val="00FD72D8"/>
    <w:rsid w:val="00FE0084"/>
    <w:rsid w:val="00FE05EC"/>
    <w:rsid w:val="00FE0A64"/>
    <w:rsid w:val="00FE1968"/>
    <w:rsid w:val="00FE1DB2"/>
    <w:rsid w:val="00FE2793"/>
    <w:rsid w:val="00FE27DF"/>
    <w:rsid w:val="00FE28E2"/>
    <w:rsid w:val="00FE299E"/>
    <w:rsid w:val="00FE2B77"/>
    <w:rsid w:val="00FE2EA4"/>
    <w:rsid w:val="00FE3111"/>
    <w:rsid w:val="00FE3A5D"/>
    <w:rsid w:val="00FE426F"/>
    <w:rsid w:val="00FE4477"/>
    <w:rsid w:val="00FE4E80"/>
    <w:rsid w:val="00FE5107"/>
    <w:rsid w:val="00FE570A"/>
    <w:rsid w:val="00FE58CB"/>
    <w:rsid w:val="00FE6185"/>
    <w:rsid w:val="00FE63C6"/>
    <w:rsid w:val="00FE69EE"/>
    <w:rsid w:val="00FE6C9F"/>
    <w:rsid w:val="00FE6D19"/>
    <w:rsid w:val="00FE6F88"/>
    <w:rsid w:val="00FE6FFA"/>
    <w:rsid w:val="00FE744D"/>
    <w:rsid w:val="00FE74A5"/>
    <w:rsid w:val="00FE7588"/>
    <w:rsid w:val="00FE77D8"/>
    <w:rsid w:val="00FE7895"/>
    <w:rsid w:val="00FE7A4F"/>
    <w:rsid w:val="00FF01A9"/>
    <w:rsid w:val="00FF190C"/>
    <w:rsid w:val="00FF1E3C"/>
    <w:rsid w:val="00FF2EBC"/>
    <w:rsid w:val="00FF3A67"/>
    <w:rsid w:val="00FF4248"/>
    <w:rsid w:val="00FF4671"/>
    <w:rsid w:val="00FF4A79"/>
    <w:rsid w:val="00FF4EBD"/>
    <w:rsid w:val="00FF5942"/>
    <w:rsid w:val="00FF6263"/>
    <w:rsid w:val="00FF62B9"/>
    <w:rsid w:val="00FF64B2"/>
    <w:rsid w:val="00FF6EA5"/>
    <w:rsid w:val="00FF732B"/>
    <w:rsid w:val="00FF7373"/>
    <w:rsid w:val="00FF771E"/>
    <w:rsid w:val="00FF797F"/>
    <w:rsid w:val="00FF7A40"/>
    <w:rsid w:val="021A4539"/>
    <w:rsid w:val="022C7BF1"/>
    <w:rsid w:val="02EC46CB"/>
    <w:rsid w:val="06E71AE2"/>
    <w:rsid w:val="0A8C15B1"/>
    <w:rsid w:val="0B605FCB"/>
    <w:rsid w:val="0E8872CF"/>
    <w:rsid w:val="10BF30BF"/>
    <w:rsid w:val="11DC7A56"/>
    <w:rsid w:val="151C58E0"/>
    <w:rsid w:val="16780D4D"/>
    <w:rsid w:val="16FF11E0"/>
    <w:rsid w:val="1A0E00BC"/>
    <w:rsid w:val="1C2E7F0D"/>
    <w:rsid w:val="1F163A1B"/>
    <w:rsid w:val="25270FD2"/>
    <w:rsid w:val="2A315557"/>
    <w:rsid w:val="2B39411D"/>
    <w:rsid w:val="2BAA10D5"/>
    <w:rsid w:val="2C7A1AB0"/>
    <w:rsid w:val="2FCF2B06"/>
    <w:rsid w:val="30DA5CE4"/>
    <w:rsid w:val="3178498F"/>
    <w:rsid w:val="317C0407"/>
    <w:rsid w:val="32F13FB9"/>
    <w:rsid w:val="359A6AE2"/>
    <w:rsid w:val="366F07D6"/>
    <w:rsid w:val="3675346F"/>
    <w:rsid w:val="3788229C"/>
    <w:rsid w:val="38704ED8"/>
    <w:rsid w:val="3ABE727D"/>
    <w:rsid w:val="3BFF73CF"/>
    <w:rsid w:val="3C56241E"/>
    <w:rsid w:val="3CEA0E14"/>
    <w:rsid w:val="3D022F35"/>
    <w:rsid w:val="3E0736B9"/>
    <w:rsid w:val="3EA15FE3"/>
    <w:rsid w:val="3F097018"/>
    <w:rsid w:val="3F973860"/>
    <w:rsid w:val="445854A7"/>
    <w:rsid w:val="455D5086"/>
    <w:rsid w:val="45B50C91"/>
    <w:rsid w:val="46855D7C"/>
    <w:rsid w:val="47143AB3"/>
    <w:rsid w:val="47B1035B"/>
    <w:rsid w:val="489470BE"/>
    <w:rsid w:val="48A647BF"/>
    <w:rsid w:val="4A427886"/>
    <w:rsid w:val="4C3636E8"/>
    <w:rsid w:val="4FB31E73"/>
    <w:rsid w:val="50077ACE"/>
    <w:rsid w:val="505C42D8"/>
    <w:rsid w:val="5275736F"/>
    <w:rsid w:val="54806857"/>
    <w:rsid w:val="56605897"/>
    <w:rsid w:val="56B43614"/>
    <w:rsid w:val="57E96D2C"/>
    <w:rsid w:val="599C36CF"/>
    <w:rsid w:val="5A9B47AD"/>
    <w:rsid w:val="5AAA7167"/>
    <w:rsid w:val="5AE0796F"/>
    <w:rsid w:val="5AFC3F55"/>
    <w:rsid w:val="5C001FCB"/>
    <w:rsid w:val="5C6C7406"/>
    <w:rsid w:val="5EC94248"/>
    <w:rsid w:val="5F8C1570"/>
    <w:rsid w:val="5FEA6448"/>
    <w:rsid w:val="60350F5E"/>
    <w:rsid w:val="608F07CC"/>
    <w:rsid w:val="60C41571"/>
    <w:rsid w:val="64274BEB"/>
    <w:rsid w:val="694A3885"/>
    <w:rsid w:val="69544AC1"/>
    <w:rsid w:val="6B452666"/>
    <w:rsid w:val="6CC676E3"/>
    <w:rsid w:val="719E55E8"/>
    <w:rsid w:val="73466713"/>
    <w:rsid w:val="753607EB"/>
    <w:rsid w:val="76171A39"/>
    <w:rsid w:val="76F64F9C"/>
    <w:rsid w:val="79DF6E6B"/>
    <w:rsid w:val="79E879F9"/>
    <w:rsid w:val="7B145D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iPriority="0" w:name="Hyperlink"/>
    <w:lsdException w:uiPriority="0" w:name="FollowedHyperlink"/>
    <w:lsdException w:qFormat="1" w:unhideWhenUsed="0" w:uiPriority="22" w:semiHidden="0" w:name="Strong" w:locked="1"/>
    <w:lsdException w:unhideWhenUsed="0" w:uiPriority="0" w:semiHidden="0" w:name="Emphasis" w:locked="1"/>
    <w:lsdException w:qFormat="1" w:unhideWhenUsed="0"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66"/>
    <w:qFormat/>
    <w:locked/>
    <w:uiPriority w:val="0"/>
    <w:pPr>
      <w:keepNext/>
      <w:keepLines/>
      <w:spacing w:before="340" w:after="330" w:line="578" w:lineRule="auto"/>
      <w:outlineLvl w:val="0"/>
    </w:pPr>
    <w:rPr>
      <w:b/>
      <w:bCs/>
      <w:kern w:val="44"/>
      <w:sz w:val="44"/>
      <w:szCs w:val="44"/>
    </w:rPr>
  </w:style>
  <w:style w:type="paragraph" w:styleId="4">
    <w:name w:val="heading 2"/>
    <w:basedOn w:val="1"/>
    <w:next w:val="1"/>
    <w:link w:val="28"/>
    <w:qFormat/>
    <w:uiPriority w:val="0"/>
    <w:pPr>
      <w:keepNext/>
      <w:keepLines/>
      <w:spacing w:before="260" w:after="260" w:line="416" w:lineRule="auto"/>
      <w:outlineLvl w:val="1"/>
    </w:pPr>
    <w:rPr>
      <w:rFonts w:ascii="Cambria" w:hAnsi="Cambria" w:cs="Cambria"/>
      <w:b/>
      <w:bCs/>
      <w:sz w:val="32"/>
      <w:szCs w:val="32"/>
    </w:rPr>
  </w:style>
  <w:style w:type="paragraph" w:styleId="5">
    <w:name w:val="heading 3"/>
    <w:basedOn w:val="1"/>
    <w:next w:val="1"/>
    <w:link w:val="73"/>
    <w:semiHidden/>
    <w:unhideWhenUsed/>
    <w:qFormat/>
    <w:locked/>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Layout w:type="fixed"/>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6">
    <w:name w:val="annotation subject"/>
    <w:basedOn w:val="7"/>
    <w:next w:val="7"/>
    <w:link w:val="54"/>
    <w:semiHidden/>
    <w:qFormat/>
    <w:uiPriority w:val="0"/>
    <w:rPr>
      <w:b/>
      <w:bCs/>
    </w:rPr>
  </w:style>
  <w:style w:type="paragraph" w:styleId="7">
    <w:name w:val="annotation text"/>
    <w:basedOn w:val="1"/>
    <w:link w:val="53"/>
    <w:semiHidden/>
    <w:qFormat/>
    <w:uiPriority w:val="0"/>
    <w:pPr>
      <w:jc w:val="left"/>
    </w:pPr>
  </w:style>
  <w:style w:type="paragraph" w:styleId="8">
    <w:name w:val="Body Text First Indent"/>
    <w:basedOn w:val="9"/>
    <w:link w:val="34"/>
    <w:qFormat/>
    <w:uiPriority w:val="0"/>
    <w:pPr>
      <w:spacing w:after="120"/>
      <w:ind w:firstLine="420" w:firstLineChars="100"/>
    </w:pPr>
    <w:rPr>
      <w:spacing w:val="0"/>
      <w:sz w:val="21"/>
      <w:szCs w:val="21"/>
    </w:rPr>
  </w:style>
  <w:style w:type="paragraph" w:styleId="9">
    <w:name w:val="Body Text"/>
    <w:basedOn w:val="1"/>
    <w:link w:val="29"/>
    <w:qFormat/>
    <w:uiPriority w:val="0"/>
    <w:rPr>
      <w:spacing w:val="-10"/>
      <w:sz w:val="28"/>
      <w:szCs w:val="28"/>
    </w:rPr>
  </w:style>
  <w:style w:type="paragraph" w:styleId="10">
    <w:name w:val="Document Map"/>
    <w:basedOn w:val="1"/>
    <w:link w:val="32"/>
    <w:semiHidden/>
    <w:qFormat/>
    <w:uiPriority w:val="0"/>
    <w:pPr>
      <w:shd w:val="clear" w:color="auto" w:fill="000080"/>
    </w:pPr>
  </w:style>
  <w:style w:type="paragraph" w:styleId="11">
    <w:name w:val="Body Text Indent"/>
    <w:basedOn w:val="1"/>
    <w:link w:val="31"/>
    <w:qFormat/>
    <w:uiPriority w:val="0"/>
    <w:pPr>
      <w:ind w:firstLine="480"/>
    </w:pPr>
    <w:rPr>
      <w:rFonts w:ascii="仿宋_GB2312" w:eastAsia="仿宋_GB2312" w:cs="仿宋_GB2312"/>
      <w:spacing w:val="-10"/>
      <w:kern w:val="0"/>
      <w:sz w:val="28"/>
      <w:szCs w:val="28"/>
    </w:rPr>
  </w:style>
  <w:style w:type="paragraph" w:styleId="12">
    <w:name w:val="Block Text"/>
    <w:basedOn w:val="1"/>
    <w:qFormat/>
    <w:uiPriority w:val="0"/>
    <w:pPr>
      <w:adjustRightInd w:val="0"/>
      <w:spacing w:line="500" w:lineRule="exact"/>
      <w:ind w:left="57" w:right="113" w:firstLine="200" w:firstLineChars="200"/>
      <w:textAlignment w:val="baseline"/>
    </w:pPr>
    <w:rPr>
      <w:rFonts w:ascii="宋体" w:cs="宋体"/>
      <w:kern w:val="0"/>
      <w:sz w:val="28"/>
      <w:szCs w:val="28"/>
    </w:rPr>
  </w:style>
  <w:style w:type="paragraph" w:styleId="13">
    <w:name w:val="Plain Text"/>
    <w:basedOn w:val="1"/>
    <w:link w:val="69"/>
    <w:qFormat/>
    <w:uiPriority w:val="0"/>
    <w:rPr>
      <w:rFonts w:ascii="宋体" w:hAnsi="Courier New" w:cs="Courier New"/>
    </w:rPr>
  </w:style>
  <w:style w:type="paragraph" w:styleId="14">
    <w:name w:val="Body Text Indent 2"/>
    <w:basedOn w:val="1"/>
    <w:link w:val="41"/>
    <w:qFormat/>
    <w:uiPriority w:val="0"/>
    <w:pPr>
      <w:widowControl/>
      <w:spacing w:after="120" w:line="480" w:lineRule="auto"/>
      <w:ind w:left="420" w:leftChars="200"/>
      <w:jc w:val="left"/>
    </w:pPr>
    <w:rPr>
      <w:rFonts w:ascii="Calibri" w:hAnsi="Calibri" w:cs="Calibri"/>
      <w:kern w:val="0"/>
      <w:sz w:val="24"/>
      <w:szCs w:val="24"/>
      <w:lang w:eastAsia="en-US"/>
    </w:rPr>
  </w:style>
  <w:style w:type="paragraph" w:styleId="15">
    <w:name w:val="Balloon Text"/>
    <w:basedOn w:val="1"/>
    <w:link w:val="55"/>
    <w:semiHidden/>
    <w:qFormat/>
    <w:uiPriority w:val="0"/>
    <w:rPr>
      <w:sz w:val="18"/>
      <w:szCs w:val="18"/>
    </w:rPr>
  </w:style>
  <w:style w:type="paragraph" w:styleId="16">
    <w:name w:val="footer"/>
    <w:basedOn w:val="1"/>
    <w:link w:val="33"/>
    <w:qFormat/>
    <w:uiPriority w:val="0"/>
    <w:pPr>
      <w:tabs>
        <w:tab w:val="center" w:pos="4153"/>
        <w:tab w:val="right" w:pos="8306"/>
      </w:tabs>
      <w:snapToGrid w:val="0"/>
      <w:jc w:val="left"/>
    </w:pPr>
    <w:rPr>
      <w:sz w:val="18"/>
      <w:szCs w:val="18"/>
    </w:rPr>
  </w:style>
  <w:style w:type="paragraph" w:styleId="17">
    <w:name w:val="Body Text First Indent 2"/>
    <w:basedOn w:val="11"/>
    <w:qFormat/>
    <w:uiPriority w:val="0"/>
    <w:pPr>
      <w:spacing w:after="120"/>
      <w:ind w:left="420" w:leftChars="200" w:firstLine="420"/>
    </w:pPr>
    <w:rPr>
      <w:sz w:val="21"/>
    </w:rPr>
  </w:style>
  <w:style w:type="paragraph" w:styleId="18">
    <w:name w:val="header"/>
    <w:basedOn w:val="1"/>
    <w:link w:val="35"/>
    <w:qFormat/>
    <w:uiPriority w:val="0"/>
    <w:pPr>
      <w:pBdr>
        <w:bottom w:val="single" w:color="auto" w:sz="6" w:space="1"/>
      </w:pBdr>
      <w:tabs>
        <w:tab w:val="center" w:pos="4153"/>
        <w:tab w:val="right" w:pos="8306"/>
      </w:tabs>
      <w:snapToGrid w:val="0"/>
      <w:spacing w:line="360" w:lineRule="auto"/>
      <w:jc w:val="center"/>
    </w:pPr>
    <w:rPr>
      <w:kern w:val="28"/>
      <w:sz w:val="18"/>
      <w:szCs w:val="18"/>
    </w:rPr>
  </w:style>
  <w:style w:type="paragraph" w:styleId="19">
    <w:name w:val="Body Text Indent 3"/>
    <w:basedOn w:val="1"/>
    <w:link w:val="57"/>
    <w:qFormat/>
    <w:uiPriority w:val="0"/>
    <w:pPr>
      <w:spacing w:after="120"/>
      <w:ind w:left="420" w:leftChars="200"/>
    </w:pPr>
    <w:rPr>
      <w:sz w:val="16"/>
      <w:szCs w:val="16"/>
    </w:rPr>
  </w:style>
  <w:style w:type="paragraph" w:styleId="20">
    <w:name w:val="Body Text 2"/>
    <w:basedOn w:val="1"/>
    <w:link w:val="30"/>
    <w:qFormat/>
    <w:uiPriority w:val="0"/>
    <w:pPr>
      <w:adjustRightInd w:val="0"/>
      <w:snapToGrid w:val="0"/>
      <w:spacing w:line="384" w:lineRule="auto"/>
      <w:jc w:val="center"/>
    </w:pPr>
    <w:rPr>
      <w:sz w:val="28"/>
      <w:szCs w:val="28"/>
    </w:rPr>
  </w:style>
  <w:style w:type="paragraph" w:styleId="21">
    <w:name w:val="Title"/>
    <w:basedOn w:val="1"/>
    <w:next w:val="1"/>
    <w:link w:val="51"/>
    <w:qFormat/>
    <w:uiPriority w:val="0"/>
    <w:pPr>
      <w:jc w:val="center"/>
    </w:pPr>
  </w:style>
  <w:style w:type="character" w:styleId="23">
    <w:name w:val="Strong"/>
    <w:qFormat/>
    <w:locked/>
    <w:uiPriority w:val="22"/>
    <w:rPr>
      <w:b/>
      <w:bCs/>
    </w:rPr>
  </w:style>
  <w:style w:type="character" w:styleId="24">
    <w:name w:val="page number"/>
    <w:basedOn w:val="22"/>
    <w:qFormat/>
    <w:uiPriority w:val="0"/>
    <w:rPr>
      <w:rFonts w:cs="Times New Roman"/>
    </w:rPr>
  </w:style>
  <w:style w:type="character" w:styleId="25">
    <w:name w:val="annotation reference"/>
    <w:basedOn w:val="22"/>
    <w:semiHidden/>
    <w:qFormat/>
    <w:uiPriority w:val="0"/>
    <w:rPr>
      <w:rFonts w:cs="Times New Roman"/>
      <w:sz w:val="21"/>
      <w:szCs w:val="21"/>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8">
    <w:name w:val="标题 2 Char"/>
    <w:basedOn w:val="22"/>
    <w:link w:val="4"/>
    <w:qFormat/>
    <w:locked/>
    <w:uiPriority w:val="0"/>
    <w:rPr>
      <w:rFonts w:ascii="Cambria" w:hAnsi="Cambria" w:eastAsia="宋体" w:cs="Cambria"/>
      <w:b/>
      <w:bCs/>
      <w:kern w:val="2"/>
      <w:sz w:val="32"/>
      <w:szCs w:val="32"/>
    </w:rPr>
  </w:style>
  <w:style w:type="character" w:customStyle="1" w:styleId="29">
    <w:name w:val="正文文本 Char"/>
    <w:basedOn w:val="22"/>
    <w:link w:val="9"/>
    <w:semiHidden/>
    <w:qFormat/>
    <w:locked/>
    <w:uiPriority w:val="0"/>
    <w:rPr>
      <w:rFonts w:cs="Times New Roman"/>
      <w:sz w:val="21"/>
      <w:szCs w:val="21"/>
    </w:rPr>
  </w:style>
  <w:style w:type="character" w:customStyle="1" w:styleId="30">
    <w:name w:val="正文文本 2 Char"/>
    <w:basedOn w:val="22"/>
    <w:link w:val="20"/>
    <w:semiHidden/>
    <w:qFormat/>
    <w:locked/>
    <w:uiPriority w:val="0"/>
    <w:rPr>
      <w:rFonts w:cs="Times New Roman"/>
      <w:sz w:val="21"/>
      <w:szCs w:val="21"/>
    </w:rPr>
  </w:style>
  <w:style w:type="character" w:customStyle="1" w:styleId="31">
    <w:name w:val="正文文本缩进 Char"/>
    <w:basedOn w:val="22"/>
    <w:link w:val="11"/>
    <w:qFormat/>
    <w:locked/>
    <w:uiPriority w:val="0"/>
    <w:rPr>
      <w:rFonts w:ascii="仿宋_GB2312" w:eastAsia="仿宋_GB2312" w:cs="仿宋_GB2312"/>
      <w:snapToGrid w:val="0"/>
      <w:spacing w:val="-10"/>
      <w:sz w:val="28"/>
      <w:szCs w:val="28"/>
    </w:rPr>
  </w:style>
  <w:style w:type="character" w:customStyle="1" w:styleId="32">
    <w:name w:val="文档结构图 Char"/>
    <w:basedOn w:val="22"/>
    <w:link w:val="10"/>
    <w:semiHidden/>
    <w:qFormat/>
    <w:locked/>
    <w:uiPriority w:val="0"/>
    <w:rPr>
      <w:rFonts w:cs="Times New Roman"/>
      <w:sz w:val="2"/>
    </w:rPr>
  </w:style>
  <w:style w:type="character" w:customStyle="1" w:styleId="33">
    <w:name w:val="页脚 Char"/>
    <w:basedOn w:val="22"/>
    <w:link w:val="16"/>
    <w:semiHidden/>
    <w:qFormat/>
    <w:locked/>
    <w:uiPriority w:val="0"/>
    <w:rPr>
      <w:rFonts w:cs="Times New Roman"/>
      <w:sz w:val="18"/>
      <w:szCs w:val="18"/>
    </w:rPr>
  </w:style>
  <w:style w:type="character" w:customStyle="1" w:styleId="34">
    <w:name w:val="正文首行缩进 Char"/>
    <w:basedOn w:val="29"/>
    <w:link w:val="8"/>
    <w:semiHidden/>
    <w:qFormat/>
    <w:locked/>
    <w:uiPriority w:val="0"/>
    <w:rPr>
      <w:rFonts w:cs="Times New Roman"/>
      <w:sz w:val="21"/>
      <w:szCs w:val="21"/>
    </w:rPr>
  </w:style>
  <w:style w:type="character" w:customStyle="1" w:styleId="35">
    <w:name w:val="页眉 Char"/>
    <w:basedOn w:val="22"/>
    <w:link w:val="18"/>
    <w:semiHidden/>
    <w:qFormat/>
    <w:locked/>
    <w:uiPriority w:val="0"/>
    <w:rPr>
      <w:rFonts w:cs="Times New Roman"/>
      <w:sz w:val="18"/>
      <w:szCs w:val="18"/>
    </w:rPr>
  </w:style>
  <w:style w:type="paragraph" w:customStyle="1" w:styleId="36">
    <w:name w:val="Char1"/>
    <w:basedOn w:val="1"/>
    <w:qFormat/>
    <w:uiPriority w:val="0"/>
    <w:pPr>
      <w:spacing w:line="360" w:lineRule="auto"/>
      <w:ind w:firstLine="200" w:firstLineChars="200"/>
    </w:pPr>
    <w:rPr>
      <w:rFonts w:ascii="宋体" w:hAnsi="宋体" w:cs="宋体"/>
      <w:sz w:val="24"/>
      <w:szCs w:val="24"/>
    </w:rPr>
  </w:style>
  <w:style w:type="paragraph" w:customStyle="1" w:styleId="37">
    <w:name w:val="_Style 24"/>
    <w:basedOn w:val="1"/>
    <w:next w:val="1"/>
    <w:semiHidden/>
    <w:qFormat/>
    <w:uiPriority w:val="0"/>
    <w:rPr>
      <w:sz w:val="24"/>
      <w:szCs w:val="24"/>
    </w:rPr>
  </w:style>
  <w:style w:type="paragraph" w:customStyle="1" w:styleId="38">
    <w:name w:val="xl27"/>
    <w:basedOn w:val="1"/>
    <w:semiHidden/>
    <w:qFormat/>
    <w:uiPriority w:val="0"/>
    <w:pPr>
      <w:widowControl/>
      <w:pBdr>
        <w:bottom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character" w:customStyle="1" w:styleId="39">
    <w:name w:val="font1"/>
    <w:qFormat/>
    <w:uiPriority w:val="0"/>
    <w:rPr>
      <w:sz w:val="18"/>
    </w:rPr>
  </w:style>
  <w:style w:type="paragraph" w:customStyle="1" w:styleId="40">
    <w:name w:val="Char Char1 Char Char"/>
    <w:basedOn w:val="1"/>
    <w:qFormat/>
    <w:uiPriority w:val="0"/>
    <w:rPr>
      <w:rFonts w:ascii="Tahoma" w:hAnsi="Tahoma" w:cs="Tahoma"/>
      <w:sz w:val="24"/>
      <w:szCs w:val="24"/>
    </w:rPr>
  </w:style>
  <w:style w:type="character" w:customStyle="1" w:styleId="41">
    <w:name w:val="正文文本缩进 2 Char"/>
    <w:basedOn w:val="22"/>
    <w:link w:val="14"/>
    <w:qFormat/>
    <w:locked/>
    <w:uiPriority w:val="0"/>
    <w:rPr>
      <w:rFonts w:ascii="Calibri" w:hAnsi="Calibri" w:eastAsia="宋体" w:cs="Calibri"/>
      <w:sz w:val="24"/>
      <w:szCs w:val="24"/>
      <w:lang w:val="en-US" w:eastAsia="en-US"/>
    </w:rPr>
  </w:style>
  <w:style w:type="paragraph" w:customStyle="1" w:styleId="42">
    <w:name w:val="正文格式"/>
    <w:basedOn w:val="1"/>
    <w:qFormat/>
    <w:uiPriority w:val="0"/>
    <w:pPr>
      <w:widowControl/>
      <w:ind w:firstLine="560" w:firstLineChars="200"/>
      <w:jc w:val="left"/>
    </w:pPr>
    <w:rPr>
      <w:rFonts w:ascii="Calibri" w:hAnsi="Calibri" w:eastAsia="楷体_GB2312" w:cs="Calibri"/>
      <w:kern w:val="0"/>
      <w:sz w:val="28"/>
      <w:szCs w:val="28"/>
    </w:rPr>
  </w:style>
  <w:style w:type="paragraph" w:customStyle="1" w:styleId="43">
    <w:name w:val="样式 首行缩进:  1 字符"/>
    <w:basedOn w:val="1"/>
    <w:link w:val="44"/>
    <w:qFormat/>
    <w:uiPriority w:val="0"/>
    <w:pPr>
      <w:adjustRightInd w:val="0"/>
      <w:snapToGrid w:val="0"/>
      <w:spacing w:line="360" w:lineRule="auto"/>
      <w:ind w:firstLine="200" w:firstLineChars="200"/>
    </w:pPr>
    <w:rPr>
      <w:rFonts w:ascii="宋体"/>
      <w:kern w:val="0"/>
      <w:sz w:val="24"/>
      <w:szCs w:val="20"/>
    </w:rPr>
  </w:style>
  <w:style w:type="character" w:customStyle="1" w:styleId="44">
    <w:name w:val="样式 首行缩进:  1 字符 Char"/>
    <w:link w:val="43"/>
    <w:qFormat/>
    <w:locked/>
    <w:uiPriority w:val="0"/>
    <w:rPr>
      <w:rFonts w:ascii="宋体" w:eastAsia="宋体"/>
      <w:sz w:val="24"/>
      <w:lang w:val="en-US" w:eastAsia="zh-CN"/>
    </w:rPr>
  </w:style>
  <w:style w:type="paragraph" w:customStyle="1" w:styleId="45">
    <w:name w:val="样式 样式 样式 首行缩进:  1 字符 + 首行缩进:  2 字符2 + 首行缩进:  2 字符"/>
    <w:basedOn w:val="1"/>
    <w:link w:val="46"/>
    <w:qFormat/>
    <w:uiPriority w:val="0"/>
    <w:pPr>
      <w:spacing w:line="360" w:lineRule="auto"/>
      <w:ind w:firstLine="480" w:firstLineChars="200"/>
    </w:pPr>
    <w:rPr>
      <w:sz w:val="24"/>
      <w:szCs w:val="20"/>
    </w:rPr>
  </w:style>
  <w:style w:type="character" w:customStyle="1" w:styleId="46">
    <w:name w:val="样式 样式 样式 首行缩进:  1 字符 + 首行缩进:  2 字符2 + 首行缩进:  2 字符 Char"/>
    <w:link w:val="45"/>
    <w:qFormat/>
    <w:locked/>
    <w:uiPriority w:val="0"/>
    <w:rPr>
      <w:rFonts w:eastAsia="宋体"/>
      <w:kern w:val="2"/>
      <w:sz w:val="24"/>
      <w:lang w:val="en-US" w:eastAsia="zh-CN"/>
    </w:rPr>
  </w:style>
  <w:style w:type="paragraph" w:customStyle="1" w:styleId="47">
    <w:name w:val="样式 样式 样式 样式 首行缩进:  1 字符 + 首行缩进:  2 字符2 + 首行缩进:  2 字符 行距: 固定值 23 ..."/>
    <w:basedOn w:val="1"/>
    <w:qFormat/>
    <w:uiPriority w:val="0"/>
    <w:pPr>
      <w:adjustRightInd w:val="0"/>
      <w:snapToGrid w:val="0"/>
      <w:spacing w:line="360" w:lineRule="auto"/>
      <w:ind w:firstLine="200" w:firstLineChars="200"/>
    </w:pPr>
    <w:rPr>
      <w:sz w:val="24"/>
      <w:szCs w:val="24"/>
    </w:rPr>
  </w:style>
  <w:style w:type="paragraph" w:customStyle="1" w:styleId="48">
    <w:name w:val="样式 样式 样式 样式 首行缩进:  1 字符 + 首行缩进:  2 字符1 + 首行缩进:  2 字符 + Arial"/>
    <w:basedOn w:val="1"/>
    <w:link w:val="49"/>
    <w:qFormat/>
    <w:uiPriority w:val="0"/>
    <w:pPr>
      <w:spacing w:line="360" w:lineRule="auto"/>
      <w:ind w:firstLine="480" w:firstLineChars="200"/>
    </w:pPr>
    <w:rPr>
      <w:rFonts w:ascii="Arial" w:hAnsi="Arial"/>
      <w:sz w:val="24"/>
      <w:szCs w:val="20"/>
    </w:rPr>
  </w:style>
  <w:style w:type="character" w:customStyle="1" w:styleId="49">
    <w:name w:val="样式 样式 样式 样式 首行缩进:  1 字符 + 首行缩进:  2 字符1 + 首行缩进:  2 字符 + Arial Char"/>
    <w:link w:val="48"/>
    <w:qFormat/>
    <w:locked/>
    <w:uiPriority w:val="0"/>
    <w:rPr>
      <w:rFonts w:ascii="Arial" w:hAnsi="Arial"/>
      <w:kern w:val="2"/>
      <w:sz w:val="24"/>
    </w:rPr>
  </w:style>
  <w:style w:type="paragraph" w:customStyle="1" w:styleId="50">
    <w:name w:val="样式 样式 样式 首行缩进:  1 字符 + 首行缩进:  2 字符 行距: 1.5 倍行距 + 首行缩进:  2 字符"/>
    <w:basedOn w:val="1"/>
    <w:qFormat/>
    <w:uiPriority w:val="0"/>
    <w:pPr>
      <w:adjustRightInd w:val="0"/>
      <w:snapToGrid w:val="0"/>
      <w:spacing w:line="360" w:lineRule="auto"/>
      <w:ind w:firstLine="480" w:firstLineChars="200"/>
    </w:pPr>
    <w:rPr>
      <w:sz w:val="24"/>
      <w:szCs w:val="24"/>
    </w:rPr>
  </w:style>
  <w:style w:type="character" w:customStyle="1" w:styleId="51">
    <w:name w:val="标题 Char"/>
    <w:basedOn w:val="22"/>
    <w:link w:val="21"/>
    <w:qFormat/>
    <w:locked/>
    <w:uiPriority w:val="0"/>
    <w:rPr>
      <w:rFonts w:cs="Times New Roman"/>
      <w:kern w:val="2"/>
      <w:sz w:val="32"/>
      <w:szCs w:val="32"/>
    </w:rPr>
  </w:style>
  <w:style w:type="character" w:customStyle="1" w:styleId="52">
    <w:name w:val="标题 字符"/>
    <w:qFormat/>
    <w:uiPriority w:val="0"/>
    <w:rPr>
      <w:rFonts w:ascii="等线 Light" w:eastAsia="等线 Light"/>
      <w:b/>
      <w:kern w:val="2"/>
      <w:sz w:val="32"/>
    </w:rPr>
  </w:style>
  <w:style w:type="character" w:customStyle="1" w:styleId="53">
    <w:name w:val="批注文字 Char"/>
    <w:basedOn w:val="22"/>
    <w:link w:val="7"/>
    <w:qFormat/>
    <w:locked/>
    <w:uiPriority w:val="0"/>
    <w:rPr>
      <w:rFonts w:cs="Times New Roman"/>
      <w:kern w:val="2"/>
      <w:sz w:val="21"/>
      <w:szCs w:val="21"/>
    </w:rPr>
  </w:style>
  <w:style w:type="character" w:customStyle="1" w:styleId="54">
    <w:name w:val="批注主题 Char"/>
    <w:basedOn w:val="53"/>
    <w:link w:val="6"/>
    <w:qFormat/>
    <w:locked/>
    <w:uiPriority w:val="0"/>
    <w:rPr>
      <w:rFonts w:cs="Times New Roman"/>
      <w:b/>
      <w:bCs/>
      <w:kern w:val="2"/>
      <w:sz w:val="21"/>
      <w:szCs w:val="21"/>
    </w:rPr>
  </w:style>
  <w:style w:type="character" w:customStyle="1" w:styleId="55">
    <w:name w:val="批注框文本 Char"/>
    <w:basedOn w:val="22"/>
    <w:link w:val="15"/>
    <w:qFormat/>
    <w:locked/>
    <w:uiPriority w:val="0"/>
    <w:rPr>
      <w:rFonts w:cs="Times New Roman"/>
      <w:kern w:val="2"/>
      <w:sz w:val="18"/>
      <w:szCs w:val="18"/>
    </w:rPr>
  </w:style>
  <w:style w:type="paragraph" w:customStyle="1" w:styleId="56">
    <w:name w:val="中文报告书"/>
    <w:basedOn w:val="1"/>
    <w:qFormat/>
    <w:uiPriority w:val="0"/>
    <w:pPr>
      <w:adjustRightInd w:val="0"/>
      <w:spacing w:after="80" w:line="420" w:lineRule="atLeast"/>
      <w:jc w:val="left"/>
      <w:textAlignment w:val="baseline"/>
    </w:pPr>
    <w:rPr>
      <w:kern w:val="0"/>
      <w:sz w:val="24"/>
      <w:szCs w:val="24"/>
    </w:rPr>
  </w:style>
  <w:style w:type="character" w:customStyle="1" w:styleId="57">
    <w:name w:val="正文文本缩进 3 Char"/>
    <w:basedOn w:val="22"/>
    <w:link w:val="19"/>
    <w:qFormat/>
    <w:locked/>
    <w:uiPriority w:val="0"/>
    <w:rPr>
      <w:rFonts w:cs="Times New Roman"/>
      <w:kern w:val="2"/>
      <w:sz w:val="16"/>
      <w:szCs w:val="16"/>
    </w:rPr>
  </w:style>
  <w:style w:type="paragraph" w:customStyle="1" w:styleId="58">
    <w:name w:val="表格"/>
    <w:qFormat/>
    <w:uiPriority w:val="0"/>
    <w:pPr>
      <w:jc w:val="center"/>
    </w:pPr>
    <w:rPr>
      <w:rFonts w:ascii="Times New Roman" w:hAnsi="Times New Roman" w:eastAsia="宋体" w:cs="Times New Roman"/>
      <w:sz w:val="24"/>
      <w:szCs w:val="24"/>
      <w:lang w:val="en-US" w:eastAsia="zh-CN" w:bidi="ar-SA"/>
    </w:rPr>
  </w:style>
  <w:style w:type="paragraph" w:customStyle="1" w:styleId="59">
    <w:name w:val="列出段落1"/>
    <w:basedOn w:val="1"/>
    <w:qFormat/>
    <w:uiPriority w:val="0"/>
    <w:pPr>
      <w:ind w:firstLine="420" w:firstLineChars="200"/>
    </w:pPr>
  </w:style>
  <w:style w:type="paragraph" w:customStyle="1" w:styleId="60">
    <w:name w:val="无间隔1"/>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61">
    <w:name w:val="样式 样式 首行缩进:  1 字符 + (符号) 宋体 四号"/>
    <w:basedOn w:val="1"/>
    <w:link w:val="63"/>
    <w:qFormat/>
    <w:uiPriority w:val="0"/>
    <w:pPr>
      <w:adjustRightInd w:val="0"/>
      <w:snapToGrid w:val="0"/>
      <w:spacing w:line="360" w:lineRule="auto"/>
      <w:ind w:firstLine="200" w:firstLineChars="200"/>
    </w:pPr>
    <w:rPr>
      <w:rFonts w:ascii="宋体"/>
      <w:snapToGrid w:val="0"/>
      <w:kern w:val="0"/>
      <w:sz w:val="24"/>
      <w:szCs w:val="20"/>
    </w:rPr>
  </w:style>
  <w:style w:type="paragraph" w:customStyle="1" w:styleId="62">
    <w:name w:val="Char Char Char Char Char Char Char Char Char Char Char"/>
    <w:qFormat/>
    <w:uiPriority w:val="0"/>
    <w:pPr>
      <w:widowControl w:val="0"/>
      <w:adjustRightInd w:val="0"/>
      <w:snapToGrid w:val="0"/>
      <w:spacing w:beforeLines="50"/>
      <w:jc w:val="center"/>
    </w:pPr>
    <w:rPr>
      <w:rFonts w:ascii="Times New Roman" w:hAnsi="Times New Roman" w:eastAsia="黑体" w:cs="Times New Roman"/>
      <w:kern w:val="2"/>
      <w:sz w:val="24"/>
      <w:szCs w:val="24"/>
      <w:lang w:val="en-US" w:eastAsia="zh-CN" w:bidi="ar-SA"/>
    </w:rPr>
  </w:style>
  <w:style w:type="character" w:customStyle="1" w:styleId="63">
    <w:name w:val="样式 样式 首行缩进:  1 字符 + (符号) 宋体 四号 Char Char"/>
    <w:link w:val="61"/>
    <w:qFormat/>
    <w:locked/>
    <w:uiPriority w:val="0"/>
    <w:rPr>
      <w:rFonts w:ascii="宋体"/>
      <w:snapToGrid w:val="0"/>
      <w:sz w:val="24"/>
    </w:rPr>
  </w:style>
  <w:style w:type="paragraph" w:customStyle="1" w:styleId="64">
    <w:name w:val="正文-ls"/>
    <w:basedOn w:val="1"/>
    <w:qFormat/>
    <w:uiPriority w:val="0"/>
    <w:pPr>
      <w:spacing w:line="360" w:lineRule="auto"/>
      <w:ind w:firstLine="200" w:firstLineChars="200"/>
    </w:pPr>
    <w:rPr>
      <w:rFonts w:ascii="Calibri" w:hAnsi="宋体" w:cs="Calibri"/>
      <w:sz w:val="24"/>
      <w:szCs w:val="24"/>
    </w:rPr>
  </w:style>
  <w:style w:type="character" w:styleId="65">
    <w:name w:val="Placeholder Text"/>
    <w:basedOn w:val="22"/>
    <w:semiHidden/>
    <w:qFormat/>
    <w:uiPriority w:val="99"/>
    <w:rPr>
      <w:color w:val="808080"/>
    </w:rPr>
  </w:style>
  <w:style w:type="character" w:customStyle="1" w:styleId="66">
    <w:name w:val="标题 1 Char"/>
    <w:basedOn w:val="22"/>
    <w:link w:val="3"/>
    <w:qFormat/>
    <w:uiPriority w:val="0"/>
    <w:rPr>
      <w:b/>
      <w:bCs/>
      <w:kern w:val="44"/>
      <w:sz w:val="44"/>
      <w:szCs w:val="44"/>
    </w:rPr>
  </w:style>
  <w:style w:type="paragraph" w:styleId="67">
    <w:name w:val="List Paragraph"/>
    <w:basedOn w:val="1"/>
    <w:qFormat/>
    <w:uiPriority w:val="34"/>
    <w:pPr>
      <w:ind w:firstLine="420" w:firstLineChars="200"/>
    </w:pPr>
  </w:style>
  <w:style w:type="paragraph" w:customStyle="1" w:styleId="68">
    <w:name w:val="Char"/>
    <w:basedOn w:val="1"/>
    <w:qFormat/>
    <w:uiPriority w:val="0"/>
    <w:pPr>
      <w:spacing w:line="360" w:lineRule="auto"/>
      <w:ind w:firstLine="200" w:firstLineChars="200"/>
    </w:pPr>
    <w:rPr>
      <w:rFonts w:ascii="宋体" w:hAnsi="宋体" w:cs="宋体"/>
      <w:sz w:val="24"/>
      <w:szCs w:val="24"/>
    </w:rPr>
  </w:style>
  <w:style w:type="character" w:customStyle="1" w:styleId="69">
    <w:name w:val="纯文本 Char"/>
    <w:basedOn w:val="22"/>
    <w:link w:val="13"/>
    <w:qFormat/>
    <w:uiPriority w:val="0"/>
    <w:rPr>
      <w:rFonts w:ascii="宋体" w:hAnsi="Courier New" w:cs="Courier New"/>
      <w:kern w:val="2"/>
      <w:sz w:val="21"/>
      <w:szCs w:val="21"/>
    </w:rPr>
  </w:style>
  <w:style w:type="character" w:customStyle="1" w:styleId="70">
    <w:name w:val="表格内容 Char"/>
    <w:link w:val="71"/>
    <w:qFormat/>
    <w:uiPriority w:val="0"/>
    <w:rPr>
      <w:sz w:val="21"/>
    </w:rPr>
  </w:style>
  <w:style w:type="paragraph" w:customStyle="1" w:styleId="71">
    <w:name w:val="表格内容"/>
    <w:basedOn w:val="1"/>
    <w:link w:val="70"/>
    <w:qFormat/>
    <w:uiPriority w:val="0"/>
    <w:pPr>
      <w:overflowPunct w:val="0"/>
      <w:adjustRightInd w:val="0"/>
      <w:jc w:val="center"/>
      <w:textAlignment w:val="baseline"/>
    </w:pPr>
    <w:rPr>
      <w:kern w:val="0"/>
      <w:szCs w:val="20"/>
    </w:rPr>
  </w:style>
  <w:style w:type="paragraph" w:customStyle="1" w:styleId="72">
    <w:name w:val="Char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character" w:customStyle="1" w:styleId="73">
    <w:name w:val="标题 3 Char"/>
    <w:basedOn w:val="22"/>
    <w:link w:val="5"/>
    <w:semiHidden/>
    <w:qFormat/>
    <w:uiPriority w:val="0"/>
    <w:rPr>
      <w:b/>
      <w:bCs/>
      <w:kern w:val="2"/>
      <w:sz w:val="32"/>
      <w:szCs w:val="32"/>
    </w:rPr>
  </w:style>
  <w:style w:type="paragraph" w:customStyle="1" w:styleId="74">
    <w:name w:val="图标标题"/>
    <w:basedOn w:val="1"/>
    <w:qFormat/>
    <w:uiPriority w:val="0"/>
    <w:pPr>
      <w:spacing w:line="360" w:lineRule="auto"/>
      <w:jc w:val="center"/>
      <w:outlineLvl w:val="4"/>
    </w:pPr>
    <w:rPr>
      <w:rFonts w:eastAsia="黑体"/>
      <w:sz w:val="24"/>
      <w:szCs w:val="22"/>
    </w:rPr>
  </w:style>
  <w:style w:type="paragraph" w:customStyle="1" w:styleId="75">
    <w:name w:val="Char Char1 Char Char Char Char Char Char Char Char Char Char Char Char Char Char Char Char Char Char Char Char1 Char"/>
    <w:basedOn w:val="17"/>
    <w:qFormat/>
    <w:uiPriority w:val="0"/>
    <w:pPr>
      <w:widowControl/>
      <w:adjustRightInd w:val="0"/>
      <w:snapToGrid w:val="0"/>
      <w:spacing w:after="0" w:line="360" w:lineRule="auto"/>
      <w:ind w:left="0" w:leftChars="0" w:firstLine="200"/>
      <w:jc w:val="left"/>
    </w:pPr>
    <w:rPr>
      <w:rFonts w:ascii="宋体" w:cs="宋体"/>
      <w:sz w:val="24"/>
    </w:rPr>
  </w:style>
  <w:style w:type="paragraph" w:customStyle="1" w:styleId="76">
    <w:name w:val="正文2"/>
    <w:basedOn w:val="1"/>
    <w:qFormat/>
    <w:uiPriority w:val="0"/>
    <w:pPr>
      <w:adjustRightInd w:val="0"/>
      <w:snapToGrid w:val="0"/>
      <w:spacing w:line="440" w:lineRule="atLeast"/>
      <w:ind w:firstLine="567"/>
    </w:pPr>
    <w:rPr>
      <w:sz w:val="24"/>
      <w:szCs w:val="20"/>
    </w:rPr>
  </w:style>
  <w:style w:type="paragraph" w:customStyle="1" w:styleId="77">
    <w:name w:val="简单回函地址"/>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2.bin"/><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emf"/><Relationship Id="rId14" Type="http://schemas.openxmlformats.org/officeDocument/2006/relationships/oleObject" Target="embeddings/oleObject5.bin"/><Relationship Id="rId13" Type="http://schemas.openxmlformats.org/officeDocument/2006/relationships/image" Target="media/image5.emf"/><Relationship Id="rId12" Type="http://schemas.openxmlformats.org/officeDocument/2006/relationships/oleObject" Target="embeddings/oleObject4.bin"/><Relationship Id="rId11" Type="http://schemas.openxmlformats.org/officeDocument/2006/relationships/image" Target="media/image4.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889204-248D-4E41-B7E4-EAD91F98FB4D}">
  <ds:schemaRefs/>
</ds:datastoreItem>
</file>

<file path=docProps/app.xml><?xml version="1.0" encoding="utf-8"?>
<Properties xmlns="http://schemas.openxmlformats.org/officeDocument/2006/extended-properties" xmlns:vt="http://schemas.openxmlformats.org/officeDocument/2006/docPropsVTypes">
  <Template>Normal.dotm</Template>
  <Company> </Company>
  <Pages>47</Pages>
  <Words>26137</Words>
  <Characters>36489</Characters>
  <Lines>309</Lines>
  <Paragraphs>87</Paragraphs>
  <TotalTime>2</TotalTime>
  <ScaleCrop>false</ScaleCrop>
  <LinksUpToDate>false</LinksUpToDate>
  <CharactersWithSpaces>36917</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2018-06-30T14:21:00Z</dcterms:created>
  <dc:creator>dabin</dc:creator>
  <cp:lastModifiedBy>Administrator</cp:lastModifiedBy>
  <cp:lastPrinted>2017-02-14T02:55:00Z</cp:lastPrinted>
  <dcterms:modified xsi:type="dcterms:W3CDTF">2018-07-10T03:47:44Z</dcterms:modified>
  <dc:title>附件一：</dc:title>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